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Cross-Border Listings Guide - Türkiye - Borsa Istanbul</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Quick Summary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Initial financial listing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To qualify for listing on the main operations market of Borsa Istanbul (formerly, the Istanbul Stock Exchange), a company typically must meet at least one of the following tests:</w:t>
                  </w:r>
                </w:p>
                <w:p>
                  <w:pPr>
                    <w:pStyle w:val="BodyText"/>
                  </w:pPr>
                  <w:hyperlink w:history="true" r:id="Ra205a82d01ee4da2">
                    <w:r>
                      <w:rPr>
                        <w:rStyle w:val="Hyperlink"/>
                      </w:rPr>
                      <w:t xml:space="preserve">Link to Table</w:t>
                    </w:r>
                  </w:hyperlink>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Other initial listing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The Listing Directive allows dual-listing of capital markets instruments traded on foreign exchanges determined by Borsa Istanbul without seeking any further condition, provided that the relevant prospectus or issuance certificate is approved by the CMB.</w:t>
                  </w:r>
                </w:p>
                <w:p>
                  <w:pPr>
                    <w:pStyle w:val="BodyText"/>
                  </w:pPr>
                  <w:r>
                    <w:rPr>
                      <w:i/>
                    </w:rPr>
                    <w:t xml:space="preserve">Share price</w:t>
                  </w:r>
                  <w:r>
                    <w:t xml:space="preserve">. There is no minimum closing or offering price for shares to be listed. However, the market value of shares offered by the issuers to be listed on the BIST Star Market cannot be lower than TRY2 billion (approx. US$46.56 million); the market value of shares offered by the issuers to be listed on the BIST Main Market cannot be lower than TRY500 million (approx. US$11.64 million) and the market value of shares offered by the issuers to be listed on the BIST Sub-Market cannot be lower than TRY200 million approx. US$4. 66 million (increased from TRY100 million (approx. US$2.33 million)).</w:t>
                  </w:r>
                </w:p>
                <w:p>
                  <w:pPr>
                    <w:pStyle w:val="BodyText"/>
                  </w:pPr>
                  <w:r>
                    <w:rPr>
                      <w:i/>
                    </w:rPr>
                    <w:t xml:space="preserve">No shareholding requirement. </w:t>
                  </w:r>
                  <w:r>
                    <w:t xml:space="preserve">There is no general shareholding requirement for being a shareholder of a public company in Türkiye (though shareholding requirements may apply when holding qualified shares in public companies that are specifically regulated (such as banks and other financial institutions)).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Listing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Listing involves registering the class of securities with the Capital Markets Board (the "</w:t>
                  </w:r>
                  <w:r>
                    <w:rPr>
                      <w:b/>
                    </w:rPr>
                    <w:t xml:space="preserve">CMB</w:t>
                  </w:r>
                  <w:r>
                    <w:t xml:space="preserve">"). The CMB will typically review the registration statement, including the prospectus. The following is a fairly typical process and timetable for a listing on Borsa Istanbul.</w:t>
                  </w:r>
                </w:p>
                <w:p>
                  <w:pPr>
                    <w:pStyle w:val="BodyText"/>
                  </w:pPr>
                  <w:hyperlink w:history="true" r:id="Rc342017f4262491d">
                    <w:r>
                      <w:rPr>
                        <w:rStyle w:val="Hyperlink"/>
                      </w:rPr>
                      <w:t xml:space="preserve">Link to Chart</w:t>
                    </w:r>
                  </w:hyperlink>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Corporate governance and reporting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pPr>
                    <w:pStyle w:val="ListParagraph"/>
                    <w:numPr>
                      <w:ilvl w:val="0"/>
                      <w:numId w:val="21"/>
                    </w:numPr>
                  </w:pPr>
                  <w:r>
                    <w:t xml:space="preserve">There are ongoing financial reporting and independent audit requirements.</w:t>
                  </w:r>
                </w:p>
                <w:p>
                  <w:pPr>
                    <w:pStyle w:val="BodyText"/>
                  </w:pPr>
                  <w:pPr>
                    <w:pStyle w:val="ListParagraph"/>
                    <w:numPr>
                      <w:ilvl w:val="0"/>
                      <w:numId w:val="21"/>
                    </w:numPr>
                  </w:pPr>
                  <w:r>
                    <w:t xml:space="preserve">All listed companies are required to disclose their financial statements, footnotes thereto and all material events through the Public Disclosure Platform, an electronic system that uses internet and electronic signature technologies.</w:t>
                  </w:r>
                </w:p>
                <w:p>
                  <w:pPr>
                    <w:pStyle w:val="BodyText"/>
                  </w:pPr>
                  <w:pPr>
                    <w:pStyle w:val="ListParagraph"/>
                    <w:numPr>
                      <w:ilvl w:val="0"/>
                      <w:numId w:val="21"/>
                    </w:numPr>
                  </w:pPr>
                  <w:r>
                    <w:t xml:space="preserve">There are certain corporate governance rules governing matters such as shareholder matters and management.</w:t>
                  </w:r>
                </w:p>
                <w:p>
                  <w:pPr>
                    <w:pStyle w:val="BodyText"/>
                  </w:pPr>
                  <w:pPr>
                    <w:pStyle w:val="ListParagraph"/>
                    <w:numPr>
                      <w:ilvl w:val="0"/>
                      <w:numId w:val="21"/>
                    </w:numPr>
                  </w:pPr>
                  <w:r>
                    <w:t xml:space="preserve">The foreign issuer must enter into an agreement with a representative in Türkiye which is responsible by law for exercise of financial and managerial rights arising from the issued securities in accordance with the laws of the issuer's home jurisdiction.</w:t>
                  </w:r>
                </w:p>
                <w:p>
                  <w:pPr>
                    <w:pStyle w:val="BodyText"/>
                  </w:pPr>
                  <w:pPr>
                    <w:pStyle w:val="ListParagraph"/>
                    <w:numPr>
                      <w:ilvl w:val="0"/>
                      <w:numId w:val="21"/>
                    </w:numPr>
                  </w:pPr>
                  <w:r>
                    <w:t xml:space="preserve">Sanctions are imposed for corrupt trading, including insider trading and market manipulation.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Fees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A company seeking to be listed must pay both additional listing fee, trading application fee, annual listing fees and other fees. No fee is charged for the initial listings of shares. Additional listing fee for the new shares issued through capital increase is 0.03% of the nominal value of such shares. The trading application fee is a fixed fee of TRY156,000 (approx. US$3,632). An annual listing fee is applied as (i) 0.005% of the nominal value of the shares listed with Borsa Istanbul and (ii) 0.005% of the annual average market value of the company as at the end of December. Annual listing fee is not charged at the first year of listing. Annual listing fees cannot be less than TRY79,000 (approx. US$1,839) or more than TRY15.6 million (approx. US$370,152). The CMB charges companies (i) a fee of 0.2% of the total offering price and (ii) a fee of 0.2% of the total nominal value of the shares not offered to the public during public offerings. However, for initial public offerings, the CMB charges (i) a fee of 0.1% of the difference between the offering price and the nominal value of the offering shares, and (ii) an additional fee of 0.2% of the total nominal value of the share capital. For companies whose registered offices are located abroad, all of the above fees are applied with a 50% discount. Additional costs may include announcement fees and notary fees incurred in relation with the public offering and listing processes.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Overview of exchange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Overview of exchange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Türkiye has been of increasing interest to foreign investors over the past several years. Investment in Türkiye has seen enormous growth in terms of both the volume of transactions and deal size. Turkish capital markets have similarly grown, with the largest IPOs in Turkish history taking place between 2010 and 2025. Borsa İstanbul A.Ş. (Borsa İstanbul) (formerly, the Istanbul Stock Exchange) witnessed record high numbers of applications for IPOs in 2023, 2024 and 2025 and in each of these three years, there was at least one IPO per week.</w:t>
                  </w:r>
                </w:p>
                <w:p>
                  <w:pPr>
                    <w:pStyle w:val="BodyText"/>
                  </w:pPr>
                  <w:r>
                    <w:t xml:space="preserve">The Capital Markets Law No. 6362 (the Capital Markets Law) entered into force on 30 December 2012, and following this major development, Istanbul Stock Exchange was replaced by Borsa Istanbul in April 2013. Borsa Istanbul began operations on 5 April 2013. Borsa Istanbul is the sole exchange entity of Türkiye, combining the former Istanbul Stock Exchange, the Istanbul Gold Exchange and the Derivatives Exchange of Türkiye. As a self-regulatory entity, Borsa Istanbul is currently the only stock exchange in Türkiye. However, Borsa Istanbul does not enjoy any monopoly.</w:t>
                  </w:r>
                </w:p>
                <w:p>
                  <w:pPr>
                    <w:pStyle w:val="BodyText"/>
                  </w:pPr>
                  <w:r>
                    <w:t xml:space="preserve">Borsa Istanbul has four markets:</w:t>
                  </w:r>
                </w:p>
                <w:p>
                  <w:pPr>
                    <w:pStyle w:val="BodyText"/>
                  </w:pPr>
                  <w:pPr>
                    <w:pStyle w:val="ListParagraph"/>
                    <w:numPr>
                      <w:ilvl w:val="0"/>
                      <w:numId w:val="20"/>
                    </w:numPr>
                  </w:pPr>
                  <w:r>
                    <w:rPr>
                      <w:i/>
                    </w:rPr>
                    <w:t xml:space="preserve">Equity Market</w:t>
                  </w:r>
                  <w:r>
                    <w:t xml:space="preserve">. Equities of companies from various sectors, pre-emptive rights, exchange-traded funds, warrants and certificates, commodity certificates, real estate certificates, participation certificates of venture capital investment funds and real estate investment funds are traded on the Equity Market. The Equity Market is divided into several sub-markets. Companies that satisfy Borsa Istanbul's listing requirements, meet its market evaluation criteria and have a market value of shares in free float equal to or greater than TRY2 billion (approximately US$46.56 million) are traded on the BIST Star Market, which is the main sub-market of Borsa Istanbul. Companies with a market value of shares in free float between TYR500 million to TRY2 billion (approximately US$11.64 million to US$46.56 million) are traded on the BIST Main Market. Other Borsa Istanbul markets include the BIST Sub-Market, Watchlist Market, Structured Products and Funds Market, Commodity Certificates Market, Venture Capital Market and Pre-Market Trading Platform. Foreign securities and depositary receipts that have been approved by the CMB are traded on the Equity Market based on the type of issuance.</w:t>
                  </w:r>
                </w:p>
                <w:p>
                  <w:pPr>
                    <w:pStyle w:val="BodyText"/>
                  </w:pPr>
                  <w:pPr>
                    <w:pStyle w:val="ListParagraph"/>
                    <w:numPr>
                      <w:ilvl w:val="0"/>
                      <w:numId w:val="20"/>
                    </w:numPr>
                  </w:pPr>
                  <w:r>
                    <w:rPr>
                      <w:i/>
                    </w:rPr>
                    <w:t xml:space="preserve">Debt Securities Market</w:t>
                  </w:r>
                  <w:r>
                    <w:t xml:space="preserve">. Debt securities, securitized assets, income backed debt securities, lease certificates, liquidity bills issued by the Central Bank of the Republic of Türkiye and other securities which are approved by Borsa Istanbul are traded on the Debt Securities Market. The Debt Securities Market consists of the Outright Purchases and Sales Market, where the secondary market transactions of debt securities are conducted; the Offering Market for Qualified Investors, where the capital market instruments are issued to qualified investors, the Repo-Reverse Repo Market, where repo-reverse repo transactions are conducted; the Repo Market for Specified Securities, where repo-reverse repo transactions with specified debt securities are conducted; the Equity Repo Market, where repo-reverse repo transactions are carried out on the shares of the companies that are included in the BIST 50 Index, and the International Bonds Market, where foreign debt instruments issued by the Turkish Undersecretariat of Treasury and listed on Borsa Istanbul are conducted. There is also the Committed Transactions Market where same day or forward value date buy-sell transactions are realized between the sellerwith a commitment to repurchase a predetermined security and the buyer with a commitment to resell that security for Turkish Lira denominated public sector lease certificates, and the Watchlist Market where capital market instruments that were previously traded on the Outright Purchases and Sales Market and moved to be traded on the Watchlist Market pursuant to the Listing Regulations are traded.</w:t>
                  </w:r>
                </w:p>
                <w:p>
                  <w:pPr>
                    <w:pStyle w:val="BodyText"/>
                  </w:pPr>
                  <w:pPr>
                    <w:pStyle w:val="ListParagraph"/>
                    <w:numPr>
                      <w:ilvl w:val="0"/>
                      <w:numId w:val="20"/>
                    </w:numPr>
                  </w:pPr>
                  <w:r>
                    <w:rPr>
                      <w:i/>
                    </w:rPr>
                    <w:t xml:space="preserve">Derivatives Market</w:t>
                  </w:r>
                  <w:r>
                    <w:t xml:space="preserve">. The Derivatives Market is designed for trading futures and options contracts based on economic or financial indicators and capital market instruments, as well as other derivative products in an electronic environment. Orders in the Derivatives Market can be placed on Main Board, Negotiated Deals Board, or Advertising Board.</w:t>
                  </w:r>
                </w:p>
                <w:p>
                  <w:pPr>
                    <w:pStyle w:val="BodyText"/>
                  </w:pPr>
                  <w:pPr>
                    <w:pStyle w:val="ListParagraph"/>
                    <w:numPr>
                      <w:ilvl w:val="0"/>
                      <w:numId w:val="20"/>
                    </w:numPr>
                  </w:pPr>
                  <w:r>
                    <w:rPr>
                      <w:i/>
                    </w:rPr>
                    <w:t xml:space="preserve">Precious Metals and Diamond Market</w:t>
                  </w:r>
                  <w:r>
                    <w:t xml:space="preserve">. Precious metals and diamonds are traded on the Precious Metals and Diamond Market. The Precious Metals and Diamond Market was established upon the merger of the Istanbul Gold Exchange into Borsa Istanbul.</w:t>
                  </w:r>
                </w:p>
                <w:p>
                  <w:pPr>
                    <w:pStyle w:val="BodyText"/>
                  </w:pPr>
                  <w:r>
                    <w:t xml:space="preserve">As of 1 February 2026, shares of 656 companies with a combined market capitalization of TRY20 trillion (approximately US$465.6 billion), were listed and traded on the Equity Market. The number of companies listed on the Equity Market has fluctuated between 322 and 539 since 2009. The total market capitalization has increased from TRY351 billion to TRY20 trillion (approximately US$8.17 billion to US$465.6 billion) since 2009.</w:t>
                  </w:r>
                </w:p>
                <w:p>
                  <w:pPr>
                    <w:pStyle w:val="BodyText"/>
                  </w:pPr>
                  <w:r>
                    <w:t xml:space="preserve">The Equity Market does not specialize in, or encourage listings by, any particular type of company. Rather, it encourages any company meeting its listing requirements to list on Borsa Istanbul. As of 1 February 2026, the Equity Market had listed companies active in agriculture, forestry and fishing, banking, mining and quarrying, construction and public works, education and health, technology, transportation, storage and telecommunication professional, scientific and technical activities, administrative and support service activities, real estate, information and communication, energy, manufacturing, financial services, operational leasing, defense industry, insurance, tourism and hospitality, and wholesale and retail businesses, with the majority active in manufacturing, real estate, energy and financial services.</w:t>
                  </w:r>
                </w:p>
                <w:p>
                  <w:pPr>
                    <w:pStyle w:val="BodyText"/>
                  </w:pPr>
                  <w:r>
                    <w:t xml:space="preserve">This summary focuses on the BIST Star Market (Borsa Istanbul's main operations sub-market) organized under the Equity Market.</w:t>
                  </w:r>
                </w:p>
                <w:p>
                  <w:pPr>
                    <w:pStyle w:val="BodyText"/>
                  </w:pPr>
                  <w:r>
                    <w:t xml:space="preserve">Any proposed listing would be subject to approvals from the Borsa Istanbul and the CMB, which are the regulatory and supervisory authorities for the securities markets in Türkiye.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Principal listing and maintenance requirements and procedures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Principal listing and maintenance requirements and procedures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Capital markets instruments representing shareholding rights or receivables which are considered securities by the CMB may be listed on Borsa Istanbul. There is no jurisdiction of incorporation or industry that would automatically be considered unacceptable for a listed company.</w:t>
                  </w:r>
                </w:p>
                <w:p>
                  <w:pPr>
                    <w:pStyle w:val="BodyText"/>
                  </w:pPr>
                  <w:r>
                    <w:t xml:space="preserve">In order for a security to be listed on Borsa Istanbul, the issuer is required to prepare a prospectus (</w:t>
                  </w:r>
                  <w:r>
                    <w:rPr>
                      <w:i/>
                    </w:rPr>
                    <w:t xml:space="preserve">izahname</w:t>
                  </w:r>
                  <w:r>
                    <w:t xml:space="preserve">) in case of a public offering, or, in the case of a private placement, an issuance certificate (</w:t>
                  </w:r>
                  <w:r>
                    <w:rPr>
                      <w:i/>
                    </w:rPr>
                    <w:t xml:space="preserve">ihraç belgesi</w:t>
                  </w:r>
                  <w:r>
                    <w:t xml:space="preserve">). Both the prospectus and the issuance certificate are subject to the CMB's approval. The new law also facilitates subsequent offerings to be made by the same issuer by introducing a simplified approval procedure, which would be applicable for a term of 12 months from the approval of the original prospectus, unless a material change has occurred that may affect the investment decisions of the investors.</w:t>
                  </w:r>
                </w:p>
                <w:p>
                  <w:pPr>
                    <w:pStyle w:val="BodyText"/>
                  </w:pPr>
                  <w:r>
                    <w:rPr>
                      <w:i/>
                    </w:rPr>
                    <w:t xml:space="preserve">The role of the CMB</w:t>
                  </w:r>
                </w:p>
                <w:p>
                  <w:pPr>
                    <w:pStyle w:val="BodyText"/>
                  </w:pPr>
                  <w:r>
                    <w:rPr>
                      <w:i/>
                    </w:rPr>
                    <w:t xml:space="preserve">General. </w:t>
                  </w:r>
                  <w:r>
                    <w:t xml:space="preserve">As the capital markets regulator, the CMB promulgates regulations relating to Turkish capital markets and the rules which participants in such markets are required to observe. CMB regulations issued under the former capital markets law required registration with the CMB of all securities to be offered in Türkiye or issued by an issuer domiciled in Türkiye. However, the Capital Markets Law abrogated this requirement to register with the CMB and the CMB has revised its regulations in accordance with the new statute. The Capital Markets Law requires that a prospectus (</w:t>
                  </w:r>
                  <w:r>
                    <w:rPr>
                      <w:i/>
                    </w:rPr>
                    <w:t xml:space="preserve">izahname</w:t>
                  </w:r>
                  <w:r>
                    <w:t xml:space="preserve">) be submitted to, and approved by, the CMB for all securities to be publicly offered. The prospectus filed with the CMB for its approval must include all information reasonably necessary to enable a prospective investor to assess the merits of the issuer and the proposed investment. The CMB may refuse to approve the prospectus in the event that it is not satisfied with the quality of the issuer or the level of disclosure in the prospectus.</w:t>
                  </w:r>
                </w:p>
                <w:p>
                  <w:pPr>
                    <w:pStyle w:val="BodyText"/>
                  </w:pPr>
                  <w:r>
                    <w:rPr>
                      <w:i/>
                    </w:rPr>
                    <w:t xml:space="preserve">Requirements for CMB's approval</w:t>
                  </w:r>
                  <w:r>
                    <w:t xml:space="preserve">. The provisions concerning the CMB's approval are stipulated separately depending on how the shares will be offered to the public. Such provisions, however, generally require that (i) the articles of association of the company be amended as set forth in the relevant CMB regulation, (ii) no rights restrict the transfer or circulation of the securities to be issued or prevent the securities owner from using his rights (such as rights in rem, of retention or other similar rights) and, (iii) a restriction of existing shareholders' pre-emption rights if the public offering will be realized through a capital increase.</w:t>
                  </w:r>
                </w:p>
                <w:p>
                  <w:pPr>
                    <w:pStyle w:val="BodyText"/>
                  </w:pPr>
                  <w:r>
                    <w:t xml:space="preserve">In addition to the requirements set forth for public offerings of domestic securities, foreign securities are subject to the following restrictions:</w:t>
                  </w:r>
                </w:p>
                <w:p>
                  <w:pPr>
                    <w:pStyle w:val="BodyText"/>
                  </w:pPr>
                  <w:pPr>
                    <w:pStyle w:val="ListParagraph"/>
                    <w:numPr>
                      <w:ilvl w:val="0"/>
                      <w:numId w:val="15"/>
                    </w:numPr>
                  </w:pPr>
                  <w:r>
                    <w:t xml:space="preserve">The application for listing or offering of foreign securities must not have been rejected by a stock exchange or any competent capital markets authority in order to protect investors or on any other similar grounds.</w:t>
                  </w:r>
                </w:p>
                <w:p>
                  <w:pPr>
                    <w:pStyle w:val="BodyText"/>
                  </w:pPr>
                  <w:pPr>
                    <w:pStyle w:val="ListParagraph"/>
                    <w:numPr>
                      <w:ilvl w:val="0"/>
                      <w:numId w:val="15"/>
                    </w:numPr>
                  </w:pPr>
                  <w:r>
                    <w:t xml:space="preserve">The foreign securities must have been issued in Turkish Lira or in a convertible currency recognized by the Central Bank of Türkiye.</w:t>
                  </w:r>
                </w:p>
                <w:p>
                  <w:pPr>
                    <w:pStyle w:val="BodyText"/>
                  </w:pPr>
                  <w:pPr>
                    <w:pStyle w:val="ListParagraph"/>
                    <w:numPr>
                      <w:ilvl w:val="0"/>
                      <w:numId w:val="15"/>
                    </w:numPr>
                  </w:pPr>
                  <w:r>
                    <w:t xml:space="preserve">The home jurisdiction must not impose any restriction on the sale of the foreign securities in Türkiye, the performance of transactions and payments in relation to the financial rights the securities grant in Türkiye, and the exercise of managerial rights arising therefrom.</w:t>
                  </w:r>
                </w:p>
                <w:p>
                  <w:pPr>
                    <w:pStyle w:val="BodyText"/>
                  </w:pPr>
                  <w:pPr>
                    <w:pStyle w:val="ListParagraph"/>
                    <w:numPr>
                      <w:ilvl w:val="0"/>
                      <w:numId w:val="15"/>
                    </w:numPr>
                  </w:pPr>
                  <w:r>
                    <w:t xml:space="preserve">Where foreign securities other than shares are issued, the foreign issuer is required to obtain a long term grade confirming that such securities are adequate for investment according to the rating scale from a rating agency, within the year prior to the application to the CMB.</w:t>
                  </w:r>
                </w:p>
                <w:p>
                  <w:pPr>
                    <w:pStyle w:val="BodyText"/>
                  </w:pPr>
                  <w:r>
                    <w:t xml:space="preserve">The CMB may set additional requirements for the purpose of protecting investors, provided that the CMB notifies the applicant of its decision.</w:t>
                  </w:r>
                </w:p>
                <w:p>
                  <w:pPr>
                    <w:pStyle w:val="BodyText"/>
                  </w:pPr>
                  <w:r>
                    <w:t xml:space="preserve">If the securities are to be issued in a foreign convertible currency recognized by the Central Bank of Türkiye, the sale will be realized in Turkish Liras.</w:t>
                  </w:r>
                </w:p>
                <w:p>
                  <w:pPr>
                    <w:pStyle w:val="BodyText"/>
                  </w:pPr>
                  <w:r>
                    <w:t xml:space="preserve">Depending on how the shares will be offered to the public (whether by way of a capital increase or by shareholder sale), the issuer and/or the shareholders are required to enter into an agreement with a representative in Türkiye. The representative performs certain transactions on behalf of the shareholders or the issuer, as the case may be, and ensures that the financial and managerial rights of the investors are exercised in compliance with the laws and regulations to which the shares are subject.</w:t>
                  </w:r>
                </w:p>
                <w:p>
                  <w:pPr>
                    <w:pStyle w:val="BodyText"/>
                  </w:pPr>
                  <w:r>
                    <w:rPr>
                      <w:i/>
                    </w:rPr>
                    <w:t xml:space="preserve">Application</w:t>
                  </w:r>
                  <w:r>
                    <w:t xml:space="preserve">. The issuer or the shareholders intending to sell their shares in the public offering must enter into an agreement with a brokerage house/broker, which will execute the necessary transactions in relation to the public offering on behalf of the sellers.</w:t>
                  </w:r>
                </w:p>
                <w:p>
                  <w:pPr>
                    <w:pStyle w:val="BodyText"/>
                  </w:pPr>
                  <w:r>
                    <w:t xml:space="preserve">The brokerage house applies to the CMB for the public offering of the shares with the required documents. These documents include, among others, the domestic prospectus (as explained in further detail below), the issuer's amended articles of association, a copy of the agreement executed with the brokerage house, written statements confirming the absence of restrictions on the transfer of the shares offered, the decision of the relevant body(ies) of the issuer approving the public offering, financial statements and independent audit reports and any other documents to be additionally requested by the CMB.</w:t>
                  </w:r>
                </w:p>
                <w:p>
                  <w:pPr>
                    <w:pStyle w:val="BodyText"/>
                  </w:pPr>
                  <w:r>
                    <w:t xml:space="preserve">The listing application to Borsa Istanbul must be made simultaneously with the application to the CMB for its approval.</w:t>
                  </w:r>
                </w:p>
                <w:p>
                  <w:pPr>
                    <w:pStyle w:val="BodyText"/>
                  </w:pPr>
                  <w:r>
                    <w:rPr>
                      <w:i/>
                    </w:rPr>
                    <w:t xml:space="preserve">Listing on Borsa Istanbul</w:t>
                  </w:r>
                </w:p>
                <w:p>
                  <w:pPr>
                    <w:pStyle w:val="BodyText"/>
                  </w:pPr>
                  <w:r>
                    <w:t xml:space="preserve">The listing and trading of foreign securities and depository receipts (issued by foreign entities in or outside Türkiye) sold (i) through public offering or (ii) to qualified investors by private placement without a public offering, are regulated by the Borsa Istanbul Listing Directive (Listing Directive). The requirements of the Listing Directive apply both to domestic and foreign securities, except in the instances outlined below.</w:t>
                  </w:r>
                </w:p>
                <w:p>
                  <w:pPr>
                    <w:pStyle w:val="BodyText"/>
                  </w:pPr>
                  <w:r>
                    <w:rPr>
                      <w:i/>
                    </w:rPr>
                    <w:t xml:space="preserve">Listing application requirement</w:t>
                  </w:r>
                  <w:r>
                    <w:t xml:space="preserve">. Pursuant to the Capital Markets Law, all Turkish public companies whose shares are not traded on Borsa Istanbul must apply to Borsa Istanbul for listing within two years following the date they become subject to capital markets legislation. Otherwise, the CMB will decide whether the company will be listed or will lose its public status.</w:t>
                  </w:r>
                </w:p>
                <w:p>
                  <w:pPr>
                    <w:pStyle w:val="BodyText"/>
                  </w:pPr>
                  <w:r>
                    <w:rPr>
                      <w:i/>
                    </w:rPr>
                    <w:t xml:space="preserve">Shareholding requirements</w:t>
                  </w:r>
                  <w:r>
                    <w:t xml:space="preserve">. For securities representing shareholding rights to be traded on Borsa Istanbul (except for securities of investment trusts), the companies whose shares have been sold to at least 500 real persons and/or legal entities are deemed public companies. However, there is no prerequisite for being a shareholder of a public company under Turkish capital markets laws. Domestic or foreign brokerage houses, banks, portfolio management companies, mortgage finance companies, mutual funds, private pension funds, insurance companies, asset management companies and other persons regarded as professional investors by the CMB are considered professional investors.</w:t>
                  </w:r>
                </w:p>
                <w:p>
                  <w:pPr>
                    <w:pStyle w:val="BodyText"/>
                  </w:pPr>
                  <w:r>
                    <w:rPr>
                      <w:i/>
                    </w:rPr>
                    <w:t xml:space="preserve">Type of legal entity</w:t>
                  </w:r>
                  <w:r>
                    <w:t xml:space="preserve">. Under the Capital Markets Law, only joint stock companies (</w:t>
                  </w:r>
                  <w:r>
                    <w:rPr>
                      <w:i/>
                    </w:rPr>
                    <w:t xml:space="preserve">anonim şirket</w:t>
                  </w:r>
                  <w:r>
                    <w:t xml:space="preserve">) may become public companies and be listed on Borsa Istanbul.</w:t>
                  </w:r>
                </w:p>
                <w:p>
                  <w:pPr>
                    <w:pStyle w:val="BodyText"/>
                  </w:pPr>
                  <w:r>
                    <w:rPr>
                      <w:i/>
                    </w:rPr>
                    <w:t xml:space="preserve">Financial and other requirements</w:t>
                  </w:r>
                  <w:r>
                    <w:t xml:space="preserve">. To list and trade securities on Borsa Istanbul, the Listing Directive requires that the company:</w:t>
                  </w:r>
                </w:p>
                <w:p>
                  <w:pPr>
                    <w:pStyle w:val="BodyText"/>
                  </w:pPr>
                  <w:pPr>
                    <w:pStyle w:val="ListParagraph"/>
                    <w:numPr>
                      <w:ilvl w:val="0"/>
                      <w:numId w:val="16"/>
                    </w:numPr>
                  </w:pPr>
                  <w:r>
                    <w:t xml:space="preserve">Submit financial statements and independent audit reports (which will be included in the prospectus for a public offering) in accordance with the CMB regulations (including balance sheets, income statements, cash flow statements and equity capital change statements for the previous three years prepared in accordance with TAS/TFRS (which are substantially in line with IAS/IFLR) and independent audit reports prepared in relation thereto; please see the chart included in the section entitled </w:t>
                  </w:r>
                  <w:r>
                    <w:rPr>
                      <w:i/>
                    </w:rPr>
                    <w:t xml:space="preserve">Listing Documentation and Process</w:t>
                  </w:r>
                  <w:r>
                    <w:t xml:space="preserve">).</w:t>
                  </w:r>
                </w:p>
                <w:p>
                  <w:pPr>
                    <w:pStyle w:val="BodyText"/>
                  </w:pPr>
                  <w:pPr>
                    <w:pStyle w:val="ListParagraph"/>
                    <w:numPr>
                      <w:ilvl w:val="0"/>
                      <w:numId w:val="16"/>
                    </w:numPr>
                  </w:pPr>
                  <w:r>
                    <w:t xml:space="preserve">Be operative for at least two calendar years.</w:t>
                  </w:r>
                </w:p>
                <w:p>
                  <w:pPr>
                    <w:pStyle w:val="BodyText"/>
                  </w:pPr>
                  <w:r>
                    <w:t xml:space="preserve">Meet all the conditions of the group to which it belongs below:</w:t>
                  </w:r>
                </w:p>
                <w:p>
                  <w:pPr>
                    <w:pStyle w:val="BodyText"/>
                  </w:pPr>
                  <w:hyperlink w:history="true" r:id="R4fb6881c7cae4667">
                    <w:r>
                      <w:rPr>
                        <w:rStyle w:val="Hyperlink"/>
                      </w:rPr>
                      <w:t xml:space="preserve">Link to Table</w:t>
                    </w:r>
                  </w:hyperlink>
                </w:p>
                <w:p>
                  <w:pPr>
                    <w:pStyle w:val="BodyText"/>
                  </w:pPr>
                  <w:pPr>
                    <w:pStyle w:val="ListParagraph"/>
                    <w:numPr>
                      <w:ilvl w:val="0"/>
                      <w:numId w:val="17"/>
                    </w:numPr>
                  </w:pPr>
                  <w:r>
                    <w:t xml:space="preserve">Obtain confirmation from Borsa Istanbul that the company's financial structure is sufficient for its operations.</w:t>
                  </w:r>
                </w:p>
                <w:p>
                  <w:pPr>
                    <w:pStyle w:val="BodyText"/>
                  </w:pPr>
                  <w:pPr>
                    <w:pStyle w:val="ListParagraph"/>
                    <w:numPr>
                      <w:ilvl w:val="0"/>
                      <w:numId w:val="17"/>
                    </w:numPr>
                  </w:pPr>
                  <w:r>
                    <w:t xml:space="preserve">Confirm that its articles of association do not include any provision restricting the transfer and trading of the securities to be traded on Borsa Istanbul or preventing shareholders from exercising their rights.</w:t>
                  </w:r>
                </w:p>
                <w:p>
                  <w:pPr>
                    <w:pStyle w:val="BodyText"/>
                  </w:pPr>
                  <w:pPr>
                    <w:pStyle w:val="ListParagraph"/>
                    <w:numPr>
                      <w:ilvl w:val="0"/>
                      <w:numId w:val="17"/>
                    </w:numPr>
                  </w:pPr>
                  <w:r>
                    <w:t xml:space="preserve">Not have any material legal disputes which might adversely affect the company's production or other commercial activities.</w:t>
                  </w:r>
                </w:p>
                <w:p>
                  <w:pPr>
                    <w:pStyle w:val="BodyText"/>
                  </w:pPr>
                  <w:pPr>
                    <w:pStyle w:val="ListParagraph"/>
                    <w:numPr>
                      <w:ilvl w:val="0"/>
                      <w:numId w:val="17"/>
                    </w:numPr>
                  </w:pPr>
                  <w:r>
                    <w:t xml:space="preserve">Not have (i) suspended its operations for more than three months during the last year, or (ii) applied for liquidation, or concordat, or any other process regarding a similar situation specified by the Borsa Istanbul Board has occurred, except as the Borsa Istanbul Board may deem appropriate.</w:t>
                  </w:r>
                </w:p>
                <w:p>
                  <w:pPr>
                    <w:pStyle w:val="BodyText"/>
                  </w:pPr>
                  <w:pPr>
                    <w:pStyle w:val="ListParagraph"/>
                    <w:numPr>
                      <w:ilvl w:val="0"/>
                      <w:numId w:val="17"/>
                    </w:numPr>
                  </w:pPr>
                  <w:r>
                    <w:t xml:space="preserve">An independent attorney's report confirming (i) the legal status of the company and its compliance with the applicable laws, (ii) that there are no restrictions on the shares to be offered, and (iii) that there are no material legal disputes which might adversely affect its activities.</w:t>
                  </w:r>
                </w:p>
                <w:p>
                  <w:pPr>
                    <w:pStyle w:val="BodyText"/>
                  </w:pPr>
                  <w:r>
                    <w:t xml:space="preserve">Further, any company that has not generated any profits in the last two financial years and/or does not meet the equity to capital ratio as set out above can still be listed on BIST Star Market provided that:</w:t>
                  </w:r>
                </w:p>
                <w:p>
                  <w:pPr>
                    <w:pStyle w:val="BodyText"/>
                  </w:pPr>
                  <w:pPr>
                    <w:pStyle w:val="ListParagraph"/>
                    <w:numPr>
                      <w:ilvl w:val="0"/>
                      <w:numId w:val="18"/>
                    </w:numPr>
                  </w:pPr>
                  <w:r>
                    <w:t xml:space="preserve">Such company (i) has recorded operating profits (Borsa Istanbul may decide to include the amortization and redemption costs that do not require any cash outflow when calculating the operating profits) in the preceding financial year and the relevant interim period and (ii) has a minimum TRY4 billion (approx. US$93.12 million) market value of the shares offered to public. </w:t>
                  </w:r>
                </w:p>
                <w:p>
                  <w:pPr>
                    <w:pStyle w:val="BodyText"/>
                  </w:pPr>
                  <w:pPr>
                    <w:pStyle w:val="ListParagraph"/>
                    <w:numPr>
                      <w:ilvl w:val="0"/>
                      <w:numId w:val="18"/>
                    </w:numPr>
                  </w:pPr>
                  <w:r>
                    <w:t xml:space="preserve">The equity/capital ratio, calculated by adding (i) the emission premiums related to the shares to be offered to the public and (ii) the nominal amount of the capital increase to equity, is greater than 1.0. </w:t>
                  </w:r>
                </w:p>
                <w:p>
                  <w:pPr>
                    <w:pStyle w:val="BodyText"/>
                  </w:pPr>
                  <w:pPr>
                    <w:pStyle w:val="ListParagraph"/>
                    <w:numPr>
                      <w:ilvl w:val="0"/>
                      <w:numId w:val="18"/>
                    </w:numPr>
                  </w:pPr>
                  <w:r>
                    <w:t xml:space="preserve">The public offering involves the issuance and offering of new shares (that is to say, the issuer receives all, or at least part, of the offering proceeds).</w:t>
                  </w:r>
                </w:p>
                <w:p>
                  <w:pPr>
                    <w:pStyle w:val="BodyText"/>
                  </w:pPr>
                  <w:pPr>
                    <w:pStyle w:val="ListParagraph"/>
                    <w:numPr>
                      <w:ilvl w:val="0"/>
                      <w:numId w:val="18"/>
                    </w:numPr>
                  </w:pPr>
                  <w:r>
                    <w:t xml:space="preserve">The other requirements applicable to listing on the BIST Star Market are satisfied.</w:t>
                  </w:r>
                </w:p>
                <w:p>
                  <w:pPr>
                    <w:pStyle w:val="BodyText"/>
                  </w:pPr>
                  <w:pPr>
                    <w:pStyle w:val="ListParagraph"/>
                    <w:numPr>
                      <w:ilvl w:val="0"/>
                      <w:numId w:val="18"/>
                    </w:numPr>
                  </w:pPr>
                  <w:r>
                    <w:t xml:space="preserve">The board of Borsa Istanbul approves the listing application through considering the issuer’s projections on operations, financial structure and use of proceeds to be generated from the offering.</w:t>
                  </w:r>
                </w:p>
                <w:p>
                  <w:pPr>
                    <w:pStyle w:val="BodyText"/>
                  </w:pPr>
                  <w:r>
                    <w:t xml:space="preserve">Borsa Istanbul may impose additional requirements for securities granting extraordinary shareholding rights (such as non-voting shares or privileged share certificates) or require the company to provide missing information and/or documents not submitted to Borsa Istanbul. If the missing information or documents are not submitted in a timely fashion, Borsa Istanbul may reject the application. Borsa Istanbul may also waive any of the requirements indicated above.</w:t>
                  </w:r>
                </w:p>
                <w:p>
                  <w:pPr>
                    <w:pStyle w:val="BodyText"/>
                  </w:pPr>
                  <w:r>
                    <w:rPr>
                      <w:i/>
                    </w:rPr>
                    <w:t xml:space="preserve">Ongoing requirements</w:t>
                  </w:r>
                  <w:r>
                    <w:t xml:space="preserve">. For a company to maintain its Borsa Istanbul listing, it must, among others requirements:</w:t>
                  </w:r>
                </w:p>
                <w:p>
                  <w:pPr>
                    <w:pStyle w:val="BodyText"/>
                  </w:pPr>
                  <w:pPr>
                    <w:pStyle w:val="ListParagraph"/>
                    <w:numPr>
                      <w:ilvl w:val="0"/>
                      <w:numId w:val="19"/>
                    </w:numPr>
                  </w:pPr>
                  <w:r>
                    <w:t xml:space="preserve">Comply with Borsa Istanbul's regulations and decisions.</w:t>
                  </w:r>
                </w:p>
                <w:p>
                  <w:pPr>
                    <w:pStyle w:val="BodyText"/>
                  </w:pPr>
                  <w:pPr>
                    <w:pStyle w:val="ListParagraph"/>
                    <w:numPr>
                      <w:ilvl w:val="0"/>
                      <w:numId w:val="19"/>
                    </w:numPr>
                  </w:pPr>
                  <w:r>
                    <w:t xml:space="preserve">Not have been declared bankrupt, nor have lost its status as a legal entity, nor have been liquidated.</w:t>
                  </w:r>
                </w:p>
                <w:p>
                  <w:pPr>
                    <w:pStyle w:val="BodyText"/>
                  </w:pPr>
                  <w:pPr>
                    <w:pStyle w:val="ListParagraph"/>
                    <w:numPr>
                      <w:ilvl w:val="0"/>
                      <w:numId w:val="19"/>
                    </w:numPr>
                  </w:pPr>
                  <w:r>
                    <w:t xml:space="preserve">Not have been in financial distress at a level halting its operations.</w:t>
                  </w:r>
                </w:p>
                <w:p>
                  <w:pPr>
                    <w:pStyle w:val="BodyText"/>
                  </w:pPr>
                  <w:pPr>
                    <w:pStyle w:val="ListParagraph"/>
                    <w:numPr>
                      <w:ilvl w:val="0"/>
                      <w:numId w:val="19"/>
                    </w:numPr>
                  </w:pPr>
                  <w:r>
                    <w:t xml:space="preserve">Comply with its public disclosure requirements.</w:t>
                  </w:r>
                </w:p>
                <w:p>
                  <w:pPr>
                    <w:pStyle w:val="BodyText"/>
                  </w:pPr>
                  <w:pPr>
                    <w:pStyle w:val="ListParagraph"/>
                    <w:numPr>
                      <w:ilvl w:val="0"/>
                      <w:numId w:val="19"/>
                    </w:numPr>
                  </w:pPr>
                  <w:r>
                    <w:t xml:space="preserve">Have not suspended their operations for a period of exceeding one year.</w:t>
                  </w:r>
                </w:p>
                <w:p>
                  <w:pPr>
                    <w:pStyle w:val="BodyText"/>
                  </w:pPr>
                  <w:r>
                    <w:rPr>
                      <w:i/>
                    </w:rPr>
                    <w:t xml:space="preserve">Requirement specific to foreign companies</w:t>
                  </w:r>
                  <w:r>
                    <w:t xml:space="preserve">. The Listing Directive allows dual-listing of capital markets instruments traded on foreign exchanges determined by Borsa Istanbul without seeking any further condition, provided that the relevant prospectus or issuance certificate is approved by the CMB.</w:t>
                  </w:r>
                </w:p>
                <w:p>
                  <w:pPr>
                    <w:pStyle w:val="BodyText"/>
                  </w:pPr>
                  <w:r>
                    <w:rPr>
                      <w:i/>
                    </w:rPr>
                    <w:t xml:space="preserve">Sponsor or broker requirement</w:t>
                  </w:r>
                  <w:r>
                    <w:t xml:space="preserve">. Companies may only execute transactions relating to Borsa Istanbul-listed securities through Turkish-licensed brokerage houses or other duly-qualified Borsa Istanbul members. Moreover, the CMB requires that the foreign company appoint a representative in Türkiye as explained further above.</w:t>
                  </w:r>
                </w:p>
                <w:p>
                  <w:pPr>
                    <w:pStyle w:val="BodyText"/>
                  </w:pPr>
                  <w:r>
                    <w:rPr>
                      <w:i/>
                    </w:rPr>
                    <w:t xml:space="preserve">Corporate governance</w:t>
                  </w:r>
                  <w:r>
                    <w:t xml:space="preserve">. The Corporate Governance Communiqué of the CMB No. II-17.1, dated 3 January 2014 (the Corporate Governance Communiqué), set out the Corporate Governance Principles. The Corporate Governance Principles are non-binding for public companies that are not listed on Borsa Istanbul. Publicly listed companies, however, are obligated to comply with certain of these rules, which are described in further detail below. The non-mandatory rules of the Corporate Governance Communiqué operate on a comply-or-explain basis. The CMB also published the Sustainability Principles Compliance Framework, which contains ESG principles that public companies are advised to follow, which also operate on a comply-or-explain basis.</w:t>
                  </w:r>
                </w:p>
                <w:p>
                  <w:pPr>
                    <w:pStyle w:val="BodyText"/>
                  </w:pPr>
                  <w:r>
                    <w:rPr>
                      <w:i/>
                    </w:rPr>
                    <w:t xml:space="preserve">Interview</w:t>
                  </w:r>
                  <w:r>
                    <w:t xml:space="preserve">. Although the company is not required to submit to an interview with Borsa Istanbul, Borsa Istanbul may, and generally does, conduct a due diligence at the headquarters or production or service units of the company (or, as the case may be, of companies having a capital or control relationship with the company) to acquire information on the company's production technology, operations, investments, business plans and financial status, and ascertain the accuracy of the information provided in the application. The company (or the other companies) must enable the Borsa Istanbul to review all financial statements, transactions, accounts and other company records.</w:t>
                  </w:r>
                </w:p>
                <w:p>
                  <w:pPr>
                    <w:pStyle w:val="BodyText"/>
                  </w:pPr>
                  <w:r>
                    <w:rPr>
                      <w:i/>
                    </w:rPr>
                    <w:t xml:space="preserve">Trading prices</w:t>
                  </w:r>
                  <w:r>
                    <w:t xml:space="preserve">. The trading prices listed on Borsa Istanbul are generally limited to a daily range established by Borsa Istanbul. Accordingly, traders on the BIST are not permitted to place orders at prices which are more than 10%-20% higher or lower than the base price of securities for the preceding trading session, depending on the market.</w:t>
                  </w:r>
                </w:p>
                <w:p>
                  <w:pPr>
                    <w:pStyle w:val="BodyText"/>
                  </w:pPr>
                  <w:r>
                    <w:rPr>
                      <w:i/>
                    </w:rPr>
                    <w:t xml:space="preserve">Restrictions on trading</w:t>
                  </w:r>
                  <w:r>
                    <w:t xml:space="preserve">.  Shares need not be placed into escrow or otherwise restrained from trading through ''lock in'', ''lock up'' or other arrangements in connection with the listing. However, for the initial public offerings, investors that purchase shares are prohibited from selling those shares off-exchange, or through private order and/or wholesale transactions on the stock exchange for 90 days starting from the date of acquisition. For shares held by the existing shareholders of the company (except shares sold within the scope of the IPO), this restriction applies for 180 days starting from the date that the offering circular was approved, and also prohibits any sale on the stock exchange.</w:t>
                  </w:r>
                </w:p>
                <w:p>
                  <w:pPr>
                    <w:pStyle w:val="BodyText"/>
                  </w:pPr>
                  <w:r>
                    <w:t xml:space="preserve">Additionally, shareholders (i) holding 10% or more of the share capital of the company, or (ii) controlling the company without regard to shareholding percentage, as of the date of the CMB's approval of the domestic prospectus (</w:t>
                  </w:r>
                  <w:r>
                    <w:rPr>
                      <w:i/>
                    </w:rPr>
                    <w:t xml:space="preserve">izahname</w:t>
                  </w:r>
                  <w:r>
                    <w:t xml:space="preserve">), are prohibited from selling their shares at a price less than the offering price for one year following the shares' first trading date on the stock exchange.</w:t>
                  </w:r>
                </w:p>
                <w:p>
                  <w:pPr>
                    <w:pStyle w:val="BodyText"/>
                  </w:pPr>
                  <w:r>
                    <w:t xml:space="preserve">Moreover, as a market practice, an issuing company may undertake not to realize a capital increase within a certain period following the completion of the public offering, and the existing shareholders may undertake more extensive lock-up undertakings than those that apply mandatorily under capital markets laws, on the basis of underwriter recommendations.</w:t>
                  </w:r>
                </w:p>
                <w:p>
                  <w:pPr>
                    <w:pStyle w:val="BodyText"/>
                  </w:pPr>
                  <w:r>
                    <w:t xml:space="preserve">Before all readily available shares are fully sold, existing shareholders (i) holding 10% or more of the share capital of the company, or (ii) controlling the company without regard to shareholding percentage, are not permitted to sell any shares on the stock exchange as of the date of approval of prospectus for a period of one year following the date the prospectus is published on the Public Disclosure Platform (the PDP).</w:t>
                  </w:r>
                </w:p>
                <w:p>
                  <w:pPr>
                    <w:pStyle w:val="BodyText"/>
                  </w:pPr>
                  <w:r>
                    <w:rPr>
                      <w:i/>
                    </w:rPr>
                    <w:t xml:space="preserve">Currency denomination</w:t>
                  </w:r>
                  <w:r>
                    <w:t xml:space="preserve">. Foreign capital market instruments must have been issued in Turkish Lira or in foreign currencies deemed convertible by the Central Bank of Republic of Türkiye (“</w:t>
                  </w:r>
                  <w:r>
                    <w:rPr>
                      <w:b/>
                    </w:rPr>
                    <w:t xml:space="preserve">CBRT</w:t>
                  </w:r>
                  <w:r>
                    <w:t xml:space="preserve">”). In the event that foreign capital market instruments and depositary receipts are issued in any of these foreign currencies, such instruments and receipts must be sold in Turkish Lira. In this case, the sale exchange rate, effects of changes in sale exchange rates, expenses, the party that will cover such expenses, and other similar matters will be expressly explained in the prospectus.</w:t>
                  </w:r>
                </w:p>
                <w:p>
                  <w:pPr>
                    <w:pStyle w:val="BodyText"/>
                  </w:pPr>
                  <w:r>
                    <w:rPr>
                      <w:i/>
                    </w:rPr>
                    <w:t xml:space="preserve">Settlement and clearing system</w:t>
                  </w:r>
                  <w:r>
                    <w:t xml:space="preserve">. Settlement is conducted through pool accounts and individual issuer accounts held with the Central Securities Depository (</w:t>
                  </w:r>
                  <w:r>
                    <w:rPr>
                      <w:i/>
                    </w:rPr>
                    <w:t xml:space="preserve">Merkezi Kayıt Kuruluşu</w:t>
                  </w:r>
                  <w:r>
                    <w:t xml:space="preserve">) (the CSD). Information on daily transactions is sent to pool accounts at the CSD. The CSD then checks the accuracy of the information on the traded securities from its records. A central settlement agency concludes the settlement according to this information. The CSD then transfers the cash to individual issuer accounts (at the CSD) and electronically distributes securities from pool accounts to individual issuer accounts in line with the settlement.</w:t>
                  </w:r>
                </w:p>
                <w:p>
                  <w:pPr>
                    <w:pStyle w:val="BodyText"/>
                  </w:pPr>
                  <w:r>
                    <w:t xml:space="preserve">Currently, the CSD is the only central depository institution operating in Türkiye. However, under the Capital Markets Law, securities other than stocks are to be retained by other central depository institutions, while stocks will continue to be held at the CSD accounts. Borsa Istanbul Settlement and Custody Bank (</w:t>
                  </w:r>
                  <w:r>
                    <w:rPr>
                      <w:i/>
                    </w:rPr>
                    <w:t xml:space="preserve">İstanbul Takas ve Saklama Bankası A.Ş.</w:t>
                  </w:r>
                  <w:r>
                    <w:t xml:space="preserve">) is the only central settlement agency currently operating in Türkiye.</w:t>
                  </w:r>
                </w:p>
                <w:p>
                  <w:pPr>
                    <w:pStyle w:val="BodyText"/>
                  </w:pPr>
                  <w:r>
                    <w:t xml:space="preserve">The CSD and Borsa Istanbul Settlement and Custody Bank systems are fully interlinked in real-time, so securities transfers are reflected in the CSD instantaneously.</w:t>
                  </w:r>
                </w:p>
                <w:p>
                  <w:pPr>
                    <w:pStyle w:val="BodyText"/>
                  </w:pPr>
                  <w:r>
                    <w:rPr>
                      <w:i/>
                    </w:rPr>
                    <w:t xml:space="preserve">Compliance adviser</w:t>
                  </w:r>
                  <w:r>
                    <w:t xml:space="preserve">.</w:t>
                  </w:r>
                  <w:r>
                    <w:rPr>
                      <w:i/>
                    </w:rPr>
                    <w:t xml:space="preserve"> </w:t>
                  </w:r>
                  <w:r>
                    <w:t xml:space="preserve">A foreign company is not required to retain a compliance adviser in order to list its securities on Borsa Istanbul. As described above, however, a foreign company may only perform transactions relating to listing its securities on Borsa Istanbul through brokerage houses licensed in Türkiye or other Borsa Istanbul members. Moreover, the CMB requires that the foreign company appoint a representative in Türkiye as further explained below.</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Listing documentation and process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Listing documentation and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rPr>
                      <w:i/>
                    </w:rPr>
                    <w:t xml:space="preserve">Initial Listing</w:t>
                  </w:r>
                </w:p>
                <w:p>
                  <w:pPr>
                    <w:pStyle w:val="BodyText"/>
                  </w:pPr>
                  <w:pPr>
                    <w:spacing w:after="220"/>
                  </w:pPr>
                  <w:r>
                    <w:t xml:space="preserve">Initial listing applications are submitted to Borsa Istanbul together with documents including:</w:t>
                  </w:r>
                </w:p>
                <w:p>
                  <w:pPr>
                    <w:pStyle w:val="BodyText"/>
                  </w:pPr>
                  <w:pPr>
                    <w:pStyle w:val="ListParagraph"/>
                    <w:numPr>
                      <w:ilvl w:val="0"/>
                      <w:numId w:val="13"/>
                    </w:numPr>
                  </w:pPr>
                  <w:r>
                    <w:t xml:space="preserve">An information form containing detailed information on the company's corporate structure and operations.</w:t>
                  </w:r>
                </w:p>
                <w:p>
                  <w:pPr>
                    <w:pStyle w:val="BodyText"/>
                  </w:pPr>
                  <w:pPr>
                    <w:pStyle w:val="ListParagraph"/>
                    <w:numPr>
                      <w:ilvl w:val="0"/>
                      <w:numId w:val="13"/>
                    </w:numPr>
                  </w:pPr>
                  <w:r>
                    <w:t xml:space="preserve">Articles of association approved by the CMB.</w:t>
                  </w:r>
                </w:p>
                <w:p>
                  <w:pPr>
                    <w:pStyle w:val="BodyText"/>
                  </w:pPr>
                  <w:pPr>
                    <w:pStyle w:val="ListParagraph"/>
                    <w:numPr>
                      <w:ilvl w:val="0"/>
                      <w:numId w:val="13"/>
                    </w:numPr>
                  </w:pPr>
                  <w:r>
                    <w:t xml:space="preserve">A legal due diligence report prepared by independent legal counsel.</w:t>
                  </w:r>
                </w:p>
                <w:p>
                  <w:pPr>
                    <w:pStyle w:val="BodyText"/>
                  </w:pPr>
                  <w:pPr>
                    <w:pStyle w:val="ListParagraph"/>
                    <w:numPr>
                      <w:ilvl w:val="0"/>
                      <w:numId w:val="13"/>
                    </w:numPr>
                  </w:pPr>
                  <w:r>
                    <w:t xml:space="preserve">If the issuer is subject to the jurisdiction of an industry regulator, a statement from such regulator relating to its approval of the issuer's listing.</w:t>
                  </w:r>
                </w:p>
                <w:p>
                  <w:pPr>
                    <w:pStyle w:val="BodyText"/>
                  </w:pPr>
                  <w:pPr>
                    <w:pStyle w:val="ListParagraph"/>
                    <w:numPr>
                      <w:ilvl w:val="0"/>
                      <w:numId w:val="13"/>
                    </w:numPr>
                  </w:pPr>
                  <w:r>
                    <w:t xml:space="preserve">Financial statements and independent audit reports to be included in the prospectus. For companies which will conduct a public offering through a capital increase or sale of the existing shares to the public:</w:t>
                  </w:r>
                </w:p>
                <w:p>
                  <w:pPr>
                    <w:pStyle w:val="BodyText"/>
                  </w:pPr>
                  <w:hyperlink w:history="true" r:id="R6069f7efb6d842c0">
                    <w:r>
                      <w:rPr>
                        <w:rStyle w:val="Hyperlink"/>
                      </w:rPr>
                      <w:t xml:space="preserve">Link to Table</w:t>
                    </w:r>
                  </w:hyperlink>
                </w:p>
                <w:p>
                  <w:pPr>
                    <w:pStyle w:val="BodyText"/>
                  </w:pPr>
                  <w:pPr>
                    <w:pStyle w:val="ListParagraph"/>
                    <w:numPr>
                      <w:ilvl w:val="0"/>
                      <w:numId w:val="14"/>
                    </w:numPr>
                  </w:pPr>
                  <w:r>
                    <w:t xml:space="preserve">Draft prospectus (or issuance certificate).</w:t>
                  </w:r>
                </w:p>
                <w:p>
                  <w:pPr>
                    <w:pStyle w:val="BodyText"/>
                  </w:pPr>
                  <w:pPr>
                    <w:pStyle w:val="ListParagraph"/>
                    <w:numPr>
                      <w:ilvl w:val="0"/>
                      <w:numId w:val="14"/>
                    </w:numPr>
                  </w:pPr>
                  <w:r>
                    <w:t xml:space="preserve">Copies of agreements with a Turkish broker.</w:t>
                  </w:r>
                </w:p>
                <w:p>
                  <w:pPr>
                    <w:pStyle w:val="BodyText"/>
                  </w:pPr>
                  <w:pPr>
                    <w:pStyle w:val="ListParagraph"/>
                    <w:numPr>
                      <w:ilvl w:val="0"/>
                      <w:numId w:val="14"/>
                    </w:numPr>
                  </w:pPr>
                  <w:r>
                    <w:t xml:space="preserve">A signature circular of the issuer's authorized signatories.</w:t>
                  </w:r>
                </w:p>
                <w:p>
                  <w:pPr>
                    <w:pStyle w:val="BodyText"/>
                  </w:pPr>
                  <w:pPr>
                    <w:pStyle w:val="ListParagraph"/>
                    <w:numPr>
                      <w:ilvl w:val="0"/>
                      <w:numId w:val="14"/>
                    </w:numPr>
                  </w:pPr>
                  <w:r>
                    <w:t xml:space="preserve">A copy of the corporate resolution of the issuer's authorized body pertaining to the issuance of securities.</w:t>
                  </w:r>
                </w:p>
                <w:p>
                  <w:pPr>
                    <w:pStyle w:val="BodyText"/>
                  </w:pPr>
                  <w:pPr>
                    <w:pStyle w:val="ListParagraph"/>
                    <w:numPr>
                      <w:ilvl w:val="0"/>
                      <w:numId w:val="14"/>
                    </w:numPr>
                  </w:pPr>
                  <w:r>
                    <w:t xml:space="preserve">Price determination report.</w:t>
                  </w:r>
                </w:p>
                <w:p>
                  <w:pPr>
                    <w:pStyle w:val="BodyText"/>
                  </w:pPr>
                  <w:pPr>
                    <w:spacing w:after="220"/>
                  </w:pPr>
                  <w:r>
                    <w:t xml:space="preserve">In an initial listing application, the reporting periods of the financial statements to be presented to Borsa Istanbul must be identical to those in the prospectus relating to the public offering.</w:t>
                  </w:r>
                </w:p>
                <w:p>
                  <w:pPr>
                    <w:pStyle w:val="BodyText"/>
                  </w:pPr>
                  <w:pPr>
                    <w:spacing w:after="220"/>
                  </w:pPr>
                  <w:r>
                    <w:t xml:space="preserve">Depending on the type of securities and the company's structure, Borsa Istanbul may add or delete items contained in the list of documents above.</w:t>
                  </w:r>
                </w:p>
                <w:p>
                  <w:pPr>
                    <w:pStyle w:val="BodyText"/>
                  </w:pPr>
                  <w:r>
                    <w:rPr>
                      <w:i/>
                    </w:rPr>
                    <w:t xml:space="preserve">Summary timetable for a listing of a foreign issuer on the Borsa Istanbul Equity Market (BIST Star Market)</w:t>
                  </w:r>
                  <w:r>
                    <w:t xml:space="preserve"> </w:t>
                  </w:r>
                </w:p>
                <w:p>
                  <w:pPr>
                    <w:pStyle w:val="BodyText"/>
                  </w:pPr>
                  <w:hyperlink w:history="true" r:id="R7d27f5b0fa8548cd">
                    <w:r>
                      <w:rPr>
                        <w:rStyle w:val="Hyperlink"/>
                      </w:rPr>
                      <w:t xml:space="preserve">Link to Timetable</w:t>
                    </w:r>
                  </w:hyperlink>
                </w:p>
                <w:p>
                  <w:pPr>
                    <w:pStyle w:val="BodyText"/>
                  </w:pPr>
                  <w:pPr>
                    <w:spacing w:after="220"/>
                  </w:pPr>
                  <w:r>
                    <w:t xml:space="preserve">Although the timetable is typical for listing a foreign company on </w:t>
                  </w:r>
                  <w:r>
                    <w:t xml:space="preserve">the Borsa Istanbul Equity Market (BIST Star Market)</w:t>
                  </w:r>
                  <w:r>
                    <w:t xml:space="preserve">, the time required will depend on the substance and quality of the applications submitted both to the CMB and Borsa Istanbul, whether these institutions require further information or documentation, and the workload of these institutions.</w:t>
                  </w:r>
                </w:p>
                <w:p>
                  <w:pPr>
                    <w:pStyle w:val="BodyText"/>
                  </w:pPr>
                  <w:r>
                    <w:rPr>
                      <w:i/>
                    </w:rPr>
                    <w:t xml:space="preserve">Additional listing</w:t>
                  </w:r>
                </w:p>
                <w:p>
                  <w:pPr>
                    <w:pStyle w:val="BodyText"/>
                  </w:pPr>
                  <w:pPr>
                    <w:spacing w:after="220"/>
                  </w:pPr>
                  <w:r>
                    <w:rPr>
                      <w:color w:val="000000"/>
                    </w:rPr>
                    <w:t xml:space="preserve">Companies whose shares are already listed on </w:t>
                  </w:r>
                  <w:r>
                    <w:t xml:space="preserve">Borsa Istanbul</w:t>
                  </w:r>
                  <w:r>
                    <w:rPr>
                      <w:color w:val="000000"/>
                    </w:rPr>
                    <w:t xml:space="preserve"> must also register new shares issued by way of a capital increase with </w:t>
                  </w:r>
                  <w:r>
                    <w:t xml:space="preserve">Borsa Istanbul</w:t>
                  </w:r>
                  <w:r>
                    <w:rPr>
                      <w:color w:val="000000"/>
                    </w:rPr>
                    <w:t xml:space="preserve">.</w:t>
                  </w:r>
                  <w:r>
                    <w:rPr>
                      <w:color w:val="000000"/>
                    </w:rPr>
                    <w:t xml:space="preserve"> In this case, the new shares are listed automatically upon the registration of new capital with the relevant trade registry without any further actions.</w:t>
                  </w:r>
                </w:p>
                <w:p>
                  <w:pPr>
                    <w:pStyle w:val="BodyText"/>
                  </w:pPr>
                  <w:r>
                    <w:rPr>
                      <w:i/>
                    </w:rPr>
                    <w:t xml:space="preserve">Other</w:t>
                  </w:r>
                </w:p>
                <w:p>
                  <w:pPr>
                    <w:pStyle w:val="BodyText"/>
                  </w:pPr>
                  <w:pPr>
                    <w:spacing w:after="220"/>
                  </w:pPr>
                  <w:r>
                    <w:rPr>
                      <w:i/>
                    </w:rPr>
                    <w:t xml:space="preserve">Prospectus</w:t>
                  </w:r>
                  <w:r>
                    <w:t xml:space="preserve">. A public offering prospectus must include corporate information, including the company's history, development and operations, risk factors, basic information on its corporate governance, approximate timeline for the offering, selected financial information, and information on its financial statements, shareholding structure, current indebtedness, reason for the public offering, the proposed use of the proceeds, financial condition, key personnel, related parties, and any other additional information (such as its capital and the material provisions of the articles of association) reasonably necessary to enable a prospective investor to assess the merits of the issuer and the proposed investment.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Continuing obligations/periodic reporting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Continuing obligations/periodic reporting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rPr>
                      <w:i/>
                    </w:rPr>
                    <w:t xml:space="preserve">Disclosure requirements</w:t>
                  </w:r>
                </w:p>
                <w:p>
                  <w:pPr>
                    <w:pStyle w:val="BodyText"/>
                  </w:pPr>
                  <w:r>
                    <w:rPr>
                      <w:i/>
                    </w:rPr>
                    <w:t xml:space="preserve">Public Disclosure Platform</w:t>
                  </w:r>
                  <w:r>
                    <w:t xml:space="preserve">. All listed companies are required to disclose, through the PDP, their financial statements, footnotes thereto, material events and all other information and/or events that may affect an investor's decision to invest in securities. The PDP is a Borsa Istanbul-operated and managed electronic system utilizing internet and electronic signature technologies. The system enables all users to access both current and past notifications of a listed company, to obtain current announcements and up-to-date general information on listed companies in a transparent and timely manner and to make basic comparisons of listed companies. The internet address of the system is </w:t>
                  </w:r>
                  <w:r>
                    <w:rPr>
                      <w:i/>
                    </w:rPr>
                    <w:t xml:space="preserve">www.kap.gov.tr</w:t>
                  </w:r>
                  <w:r>
                    <w:t xml:space="preserve">.</w:t>
                  </w:r>
                </w:p>
                <w:p>
                  <w:pPr>
                    <w:pStyle w:val="BodyText"/>
                  </w:pPr>
                  <w:r>
                    <w:rPr>
                      <w:i/>
                    </w:rPr>
                    <w:t xml:space="preserve">Financial disclosure requirements</w:t>
                  </w:r>
                  <w:r>
                    <w:t xml:space="preserve">. Companies listed on the Borsa Istanbul are required to comply with Borsa Istanbul information and disclosure requirements. There are two types of disclosure requirements: one relating to financial statements, the other to material events. For financial statements:</w:t>
                  </w:r>
                </w:p>
                <w:p>
                  <w:pPr>
                    <w:pStyle w:val="BodyText"/>
                  </w:pPr>
                  <w:pPr>
                    <w:pStyle w:val="ListParagraph"/>
                    <w:numPr>
                      <w:ilvl w:val="0"/>
                      <w:numId w:val="12"/>
                    </w:numPr>
                  </w:pPr>
                  <w:r>
                    <w:t xml:space="preserve">Companies must apply TAS/TFRS (which are substantially in line with IAS/IFRS). Companies are required to publish annual and interim financial statements and independent audit reports through the PDP. These statements and reports must also be published on the companies' websites, if any.</w:t>
                  </w:r>
                </w:p>
                <w:p>
                  <w:pPr>
                    <w:pStyle w:val="BodyText"/>
                  </w:pPr>
                  <w:pPr>
                    <w:pStyle w:val="ListParagraph"/>
                    <w:numPr>
                      <w:ilvl w:val="0"/>
                      <w:numId w:val="12"/>
                    </w:numPr>
                  </w:pPr>
                  <w:r>
                    <w:t xml:space="preserve">Listed companies must provide a financial statement annually and interim financial statements quarterly each calendar quarter. Interim statements must contain a comparison statement against the annual statement.</w:t>
                  </w:r>
                </w:p>
                <w:p>
                  <w:pPr>
                    <w:pStyle w:val="BodyText"/>
                  </w:pPr>
                  <w:pPr>
                    <w:pStyle w:val="ListParagraph"/>
                    <w:numPr>
                      <w:ilvl w:val="0"/>
                      <w:numId w:val="12"/>
                    </w:numPr>
                  </w:pPr>
                  <w:r>
                    <w:t xml:space="preserve">Independently audited year-end financial statements and reports must be submitted to the Borsa Istanbul and CMB within 60 days following the end of the accounting period (if a company is required to submit consolidated financial statements, this is extended to 70 days). The report must remain publicly available for at least five years on the company's website. </w:t>
                  </w:r>
                </w:p>
                <w:p>
                  <w:pPr>
                    <w:pStyle w:val="BodyText"/>
                  </w:pPr>
                  <w:pPr>
                    <w:pStyle w:val="ListParagraph"/>
                    <w:numPr>
                      <w:ilvl w:val="0"/>
                      <w:numId w:val="12"/>
                    </w:numPr>
                  </w:pPr>
                  <w:r>
                    <w:t xml:space="preserve">Independently audited interim financial statements must be submitted within 40 days following the end of the respective interim period (if a company is required to submit consolidated financial statements, this is extended to 50 days).</w:t>
                  </w:r>
                </w:p>
                <w:p>
                  <w:pPr>
                    <w:pStyle w:val="BodyText"/>
                  </w:pPr>
                  <w:pPr>
                    <w:pStyle w:val="ListParagraph"/>
                    <w:numPr>
                      <w:ilvl w:val="0"/>
                      <w:numId w:val="12"/>
                    </w:numPr>
                  </w:pPr>
                  <w:r>
                    <w:t xml:space="preserve">Audited interim financial statements must be submitted within 30 days following the end of the respective interim period (if a company is required submit consolidated financial statements, this is extended to 40 days).</w:t>
                  </w:r>
                </w:p>
                <w:p>
                  <w:pPr>
                    <w:pStyle w:val="BodyText"/>
                  </w:pPr>
                  <w:r>
                    <w:rPr>
                      <w:i/>
                    </w:rPr>
                    <w:t xml:space="preserve">Disclosure of material events</w:t>
                  </w:r>
                  <w:r>
                    <w:t xml:space="preserve">. On 23 January 2014, the CMB issued the new Communiqué on Material Events No. II-15.1 (the Disclosure Communiqué) which repeals the Communiqué Serial VIII and No. 54 on principles regulating public disclosure of material events (former communiqué), to integrate new rules under the Capital Markets Law. The Disclosure Communiqué expands disclosure requirements to also include private companies that have offered debt instruments, non-public companies issuing securities through private placement and companies listed in the Equity Market for Qualified Investors (i.e. non-public companies whose shares are traded in the foregoing sub-market). Beyond that, the Disclosure Communiqué follows the former communiqué, which had a fairly broad scope of disclosure. Under Article 27 of the Disclosure Communiqué, the CMB is authorized to publish disclosure guidelines that define and discuss the disclosure requirements, and provide illustrative examples. Accordingly, the CMB has published the new public disclosure guidelines on implementing these new disclosure rules on 27 June 2014 and abolished the CMB's disclosure guidelines published in 2009. The new disclosure guidelines, however, does not provide any major changes as there is no major change in the rules' underlying aim.</w:t>
                  </w:r>
                </w:p>
                <w:p>
                  <w:pPr>
                    <w:pStyle w:val="BodyText"/>
                  </w:pPr>
                  <w:r>
                    <w:t xml:space="preserve">The Disclosure Communiqué applies to (i) public companies, and (ii) private companies issuing capital market instruments in Türkiye.</w:t>
                  </w:r>
                </w:p>
                <w:p>
                  <w:pPr>
                    <w:pStyle w:val="BodyText"/>
                  </w:pPr>
                  <w:r>
                    <w:t xml:space="preserve">Generally, under the Disclosure Communiqué, any information, event or development that may affect investors' investment decisions and/or the value or price of capital market instruments must be publicly disclosed.</w:t>
                  </w:r>
                </w:p>
                <w:p>
                  <w:pPr>
                    <w:pStyle w:val="BodyText"/>
                  </w:pPr>
                  <w:r>
                    <w:t xml:space="preserve">In addition, the Disclosure Communiqué provides for cases that must be disclosed without regard to their effect on investment decisions or capital market securities prices. These special disclosure requirements also concern block sales of issuers' shares.</w:t>
                  </w:r>
                </w:p>
                <w:p>
                  <w:pPr>
                    <w:pStyle w:val="BodyText"/>
                  </w:pPr>
                  <w:r>
                    <w:rPr>
                      <w:i/>
                    </w:rPr>
                    <w:t xml:space="preserve">Disclosure of beneficial interests in shares</w:t>
                  </w:r>
                  <w:r>
                    <w:t xml:space="preserve">. Persons who become direct or indirect holders of 5%, 10%, 15%, 20%, 25%, 33%, 50%, 67% or 95% of an issuer's issued share capital or voting rights are required to publicly disclose such event. The same requirement also applies to shareholders of issuers when the total number of their shares or voting rights falls below or exceeds these thresholds. All of the voting rights, including the circumstances where a voting right freezes, are considered in calculating the percentages above. This calculation is made separately for different groups of shares and their attached voting rights.</w:t>
                  </w:r>
                </w:p>
                <w:p>
                  <w:pPr>
                    <w:pStyle w:val="BodyText"/>
                  </w:pPr>
                  <w:r>
                    <w:t xml:space="preserve">Disclosures on acquisition of blocks of shares must contain the (i) name of the person making the disclosure, (ii) name of the company that is the subject of the disclosure, (iii) date of the transaction, (iv) number, nominal value of the shares and transaction value, and (v) number of shares and shareholding structure pre- and post-transaction.</w:t>
                  </w:r>
                </w:p>
                <w:p>
                  <w:pPr>
                    <w:pStyle w:val="BodyText"/>
                  </w:pPr>
                  <w:r>
                    <w:t xml:space="preserve">Shareholding of persons acting together must be aggregated to determine if the above thresholds are exceeded. For instance, the shareholdings or voting rights held by an entity are aggregated with the shareholdings or voting rights of (i) its controlled subsidiary, and (ii) persons who have agreed explicitly or implicitly, verbally or in writing to vote in the same way on the same matter.</w:t>
                  </w:r>
                </w:p>
                <w:p>
                  <w:pPr>
                    <w:pStyle w:val="BodyText"/>
                  </w:pPr>
                  <w:r>
                    <w:rPr>
                      <w:i/>
                    </w:rPr>
                    <w:t xml:space="preserve">Other disclosure requirements</w:t>
                  </w:r>
                  <w:r>
                    <w:t xml:space="preserve">. Any changes in issuers' general information published on the Public Disclosure Platform must be updated by the issuers within two business days following the change.</w:t>
                  </w:r>
                </w:p>
                <w:p>
                  <w:pPr>
                    <w:pStyle w:val="BodyText"/>
                  </w:pPr>
                  <w:r>
                    <w:t xml:space="preserve">There are several other detailed public disclosure requirements in connection with events such as mergers and acquisitions specifically governed by the Disclosure Communiqué.</w:t>
                  </w:r>
                </w:p>
                <w:p>
                  <w:pPr>
                    <w:pStyle w:val="BodyText"/>
                  </w:pPr>
                  <w:r>
                    <w:rPr>
                      <w:i/>
                    </w:rPr>
                    <w:t xml:space="preserve">Regimes applicable to corrupt trading</w:t>
                  </w:r>
                </w:p>
                <w:p>
                  <w:pPr>
                    <w:pStyle w:val="BodyText"/>
                  </w:pPr>
                  <w:r>
                    <w:rPr>
                      <w:i/>
                    </w:rPr>
                    <w:t xml:space="preserve">Insider trading</w:t>
                  </w:r>
                  <w:r>
                    <w:t xml:space="preserve">. Insider trading is a crime defined in the Capital Markets Law as benefiting from, or permitting others to benefit from, or avoiding losses through, or enabling others to avoid losses through, the use of non-public information which may affect the value of securities. Benefiting from non-public information is the essential element. For an act to constitute an insider trading violation, the information must be utilized in a manner which provides an unfair advantage over other investors. Insider trading violations are punishable by a prison term of three to five years or by fines. The minimum monetary fine imposed may not be less than two times the monetary benefit obtained through such actions.</w:t>
                  </w:r>
                </w:p>
                <w:p>
                  <w:pPr>
                    <w:pStyle w:val="BodyText"/>
                  </w:pPr>
                  <w:r>
                    <w:rPr>
                      <w:i/>
                    </w:rPr>
                    <w:t xml:space="preserve">Manipulation</w:t>
                  </w:r>
                  <w:r>
                    <w:t xml:space="preserve">. The Capital Markets Law defines two types of market manipulation. The provision of information, disseminating news or making comments in a false, falsified, misleading or groundless manner and not disclosing information which is required to be disclosed by law is defined as "market manipulation based on information"; whereas, the sale and purchase of securities for the purpose of artificially affecting supply and demand, creating an impression of an active market, keeping the prices at a particular level or artificially increasing or decreasing the prices is defined as "market manipulation." Manipulation violations are punishable by a prison term of three to five years and by fines. The minimum monetary fine imposed may not be less than the monetary benefit obtained through such actions.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Corporate governance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Corporate governance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The Corporate Governance Communiqué sets forth the general principles of Turkish corporate governance. As described below, listed companies incorporated in Türkiye are obligated to comply with certain of the corporate governance principles.</w:t>
                  </w:r>
                </w:p>
                <w:p>
                  <w:pPr>
                    <w:pStyle w:val="BodyText"/>
                  </w:pPr>
                  <w:r>
                    <w:t xml:space="preserve">The Corporate Governance Communiqué addresses four major topics: shareholders' rights and equal treatment of shareholders; public disclosure and transparency; stakeholders; and management. Material provisions include the following:</w:t>
                  </w:r>
                </w:p>
                <w:p>
                  <w:pPr>
                    <w:pStyle w:val="BodyText"/>
                  </w:pPr>
                  <w:pPr>
                    <w:pStyle w:val="ListParagraph"/>
                    <w:numPr>
                      <w:ilvl w:val="0"/>
                      <w:numId w:val="11"/>
                    </w:numPr>
                  </w:pPr>
                  <w:r>
                    <w:t xml:space="preserve">If a cross-shareholding involves a control relationship, the companies in the cross-shareholding relationship may not vote at each other's general assembly meetings unless certain exceptional cases such as need of meeting the quorum. The affected companies must disclose the relationship publicly.</w:t>
                  </w:r>
                </w:p>
                <w:p>
                  <w:pPr>
                    <w:pStyle w:val="BodyText"/>
                  </w:pPr>
                  <w:pPr>
                    <w:pStyle w:val="ListParagraph"/>
                    <w:numPr>
                      <w:ilvl w:val="0"/>
                      <w:numId w:val="11"/>
                    </w:numPr>
                  </w:pPr>
                  <w:r>
                    <w:t xml:space="preserve">Boards of directors must be composed of at least five directors. At least one-third (and, in any case, a minimum of two) directors must be independent board members within the meaning of the Corporate Governance Communiqué. However, except for the banks, if at least 51% of a company's share capital is equally owned by two independent shareholders contractually sharing equal management control but having no direct or indirect shareholding, management or audit relationship between themselves, the company may apply to CMB to limit the number of independent board members to two. Third-tier companies may also limit the number of independent board members to two. Third-tier companies are (i) newly listed companies (ii) the companies whose average market capitalization is below TRY2 billion (approximately US$46.56 million) or which have a free float with a value below TRY500 million (approximately US$11.64 million) and whose shares are traded on the BIST Star Market, BIST Main Market and BIST Sub-Market.</w:t>
                  </w:r>
                </w:p>
                <w:p>
                  <w:pPr>
                    <w:pStyle w:val="BodyText"/>
                  </w:pPr>
                  <w:pPr>
                    <w:pStyle w:val="ListParagraph"/>
                    <w:numPr>
                      <w:ilvl w:val="0"/>
                      <w:numId w:val="11"/>
                    </w:numPr>
                  </w:pPr>
                  <w:r>
                    <w:t xml:space="preserve">Directors elected as representatives of, or upon nomination by, a shareholder group are not deemed independent.</w:t>
                  </w:r>
                </w:p>
                <w:p>
                  <w:pPr>
                    <w:pStyle w:val="BodyText"/>
                  </w:pPr>
                  <w:pPr>
                    <w:pStyle w:val="ListParagraph"/>
                    <w:numPr>
                      <w:ilvl w:val="0"/>
                      <w:numId w:val="11"/>
                    </w:numPr>
                  </w:pPr>
                  <w:r>
                    <w:t xml:space="preserve">Certain material transactions are deemed void without the approval of the board of directors or the general assembly, as the case may be. This approval must include the affirmative votes of the majority of the independent directors. If it does not, the matter must be referred to the general assembly for a vote. Related parties involved in the transaction, if any, may not vote on the proposal. Under the Corporate Governance Communiqué, "material transactions" are deemed to include: the sale, purchase of or similar transactions in connection with assets in substantial amounts determined by the Corporate Governance Communiqué.</w:t>
                  </w:r>
                </w:p>
                <w:p>
                  <w:pPr>
                    <w:pStyle w:val="BodyText"/>
                  </w:pPr>
                  <w:pPr>
                    <w:pStyle w:val="ListParagraph"/>
                    <w:numPr>
                      <w:ilvl w:val="0"/>
                      <w:numId w:val="11"/>
                    </w:numPr>
                  </w:pPr>
                  <w:r>
                    <w:t xml:space="preserve">Prior to entering into a related party transaction, board of directors of the company and board of directors of its affiliates, are required to take a resolution to determine the essential points of the transaction. Depending on the nature and substantiality of the transaction, the company or its affiliate may be subject to further requirements such as public disclosure, the need to obtain an appraisal report, and/or a board of directors resolution including the affirmative votes of the majority of the independent directors, or if it does not, approval of the general assembly. The related parties involved in the transaction may not vote on the proposal both in board of directors and general assembly level. </w:t>
                  </w:r>
                </w:p>
                <w:p>
                  <w:pPr>
                    <w:pStyle w:val="BodyText"/>
                  </w:pPr>
                  <w:pPr>
                    <w:pStyle w:val="ListParagraph"/>
                    <w:numPr>
                      <w:ilvl w:val="0"/>
                      <w:numId w:val="11"/>
                    </w:numPr>
                  </w:pPr>
                  <w:r>
                    <w:t xml:space="preserve">Companies must either confirm compliance with the non-mandatory provisions of the corporate governance principles set forth under the Corporate Governance Communiqué and the Sustainability Principles Compliance Framework or explain the reasons for their non-compliance through disclosures to be made on the PDP.</w:t>
                  </w:r>
                </w:p>
                <w:p>
                  <w:pPr>
                    <w:pStyle w:val="BodyText"/>
                  </w:pPr>
                  <w:pPr>
                    <w:pStyle w:val="ListParagraph"/>
                    <w:numPr>
                      <w:ilvl w:val="0"/>
                      <w:numId w:val="11"/>
                    </w:numPr>
                  </w:pPr>
                  <w:r>
                    <w:t xml:space="preserve">Listed companies and their affiliates may not grant any security, pledge or surety other than (i) for their own benefit, (ii) consolidated affiliates, (iii) for the benefit of third parties to carry out its ordinary commercial activities and (iv) for the benefit of subsidiaries pro rata to the ratio of their direct capital contribution in the relevant subsidiary.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Specific situations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Specific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There are no additional or separate requirements applicable to large multinational companies or smaller companies or special industries.</w:t>
                  </w:r>
                </w:p>
                <w:p>
                  <w:pPr>
                    <w:pStyle w:val="BodyText"/>
                  </w:pPr>
                  <w:r>
                    <w:t xml:space="preserve">In subsequent offerings to be made by the same issuer, the CMB sets out a simplified approval procedure, which would be applicable for a term of 12 months from the approval of the original prospectus, unless a material change has occurred that may affect the decisions of the investors.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Presence in the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Presence in the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rPr>
                      <w:i/>
                    </w:rPr>
                    <w:t xml:space="preserve">Representative in Türkiye</w:t>
                  </w:r>
                  <w:r>
                    <w:t xml:space="preserve">. A foreign issuer must enter into an agreement with a representative who is responsible by law for the exercise of financial and managerial rights arising from foreign securities as required by the laws of the issuer's home jurisdiction, submitting notifications and making disclosures to the PDP, and making payments in relation to the securities issued.</w:t>
                  </w:r>
                </w:p>
                <w:p>
                  <w:pPr>
                    <w:pStyle w:val="BodyText"/>
                  </w:pPr>
                  <w:r>
                    <w:rPr>
                      <w:i/>
                    </w:rPr>
                    <w:t xml:space="preserve"> </w:t>
                  </w:r>
                  <w:r>
                    <w:rPr>
                      <w:i/>
                    </w:rPr>
                    <w:t xml:space="preserve">Central registry system</w:t>
                  </w:r>
                  <w:r>
                    <w:rPr>
                      <w:i/>
                    </w:rPr>
                    <w:t xml:space="preserve">. Shares traded on Borsa Istanbul are in dematerialized form and electronically held through the CSD. Similarly, rights issues are no longer in printed form but entered into the CSD's book-entry system.</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Fees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Fees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Listing fees consist of the additional listing fees, trading application fees, annual listing fees and other fees. No fee is charged for the initial listings of shares. The Borsa Istanbul-determined fees become effective upon CMB approval.</w:t>
                  </w:r>
                </w:p>
                <w:p>
                  <w:pPr>
                    <w:pStyle w:val="BodyText"/>
                  </w:pPr>
                  <w:r>
                    <w:rPr>
                      <w:i/>
                    </w:rPr>
                    <w:t xml:space="preserve">Additional listing fees. </w:t>
                  </w:r>
                  <w:r>
                    <w:t xml:space="preserve">Additional listing fee for the new shares issued through capital increase is 0.03% of the nominal value of such shares.</w:t>
                  </w:r>
                </w:p>
                <w:p>
                  <w:pPr>
                    <w:pStyle w:val="BodyText"/>
                  </w:pPr>
                  <w:r>
                    <w:rPr>
                      <w:i/>
                    </w:rPr>
                    <w:t xml:space="preserve">Trading application fees. </w:t>
                  </w:r>
                  <w:r>
                    <w:t xml:space="preserve">Trading application fee is a fixed fee of TRY156,000 (approximately US$3,632).</w:t>
                  </w:r>
                </w:p>
                <w:p>
                  <w:pPr>
                    <w:pStyle w:val="BodyText"/>
                  </w:pPr>
                  <w:r>
                    <w:rPr>
                      <w:i/>
                    </w:rPr>
                    <w:t xml:space="preserve">Annual listing fees.</w:t>
                  </w:r>
                  <w:r>
                    <w:t xml:space="preserve"> An annual listing fee is applied as (i) 0.005% of the nominal value of the shares listed with Borsa Istanbul and (ii) 0.005% of the annual average market value of the company as at the end of December. No annual listing fee is charged at the first year of listing. The annual listing fee cannot be less than TRY79,000 (approx. US$1,839) or more than TRY15.6 million (approx. US$363,168).</w:t>
                  </w:r>
                </w:p>
                <w:p>
                  <w:pPr>
                    <w:pStyle w:val="BodyText"/>
                  </w:pPr>
                  <w:r>
                    <w:t xml:space="preserve">For companies whose registered offices are located abroad, all of the above fees are applied with a 50% discount.</w:t>
                  </w:r>
                </w:p>
                <w:p>
                  <w:pPr>
                    <w:pStyle w:val="BodyText"/>
                  </w:pPr>
                  <w:r>
                    <w:rPr>
                      <w:i/>
                    </w:rPr>
                    <w:t xml:space="preserve">Other fees</w:t>
                  </w:r>
                  <w:r>
                    <w:t xml:space="preserve">. The CMB charges companies (i) a fee of 0.2% of the total offering price and (ii) a fee of 0.2% of the total nominal value of the shares not offered to the public during public offerings. However, for initial public offerings, the CMB charges (i) a fee of 0.1% of the difference between the offering price and the nominal value of the offering shares, and (ii) an additional fee of 0.2% of the total nominal value of the share capital. There may be additional costs and expenses such as announcement and other public relations fees and notary fees incurred in relation with the public offering and listing processes.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Additional Information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Additional Information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All information and documents attached to Borsa Istanbul regulations must be prepared in Turkish. Other required documents must be submitted with certified Turkish translations.</w:t>
                  </w:r>
                </w:p>
                <w:p>
                  <w:pPr>
                    <w:pStyle w:val="BodyText"/>
                  </w:pPr>
                  <w:r>
                    <w:t xml:space="preserve">Key differences in requirements for domestic companies</w:t>
                  </w:r>
                </w:p>
                <w:p>
                  <w:pPr>
                    <w:pStyle w:val="BodyText"/>
                  </w:pPr>
                  <w:r>
                    <w:t xml:space="preserve">Listing requirements for domestic companies are generally the same as those for foreign companies. Foreign companies are, however, subject to certain requirements that Turkish companies are not, such as:</w:t>
                  </w:r>
                </w:p>
                <w:p>
                  <w:pPr>
                    <w:pStyle w:val="BodyText"/>
                  </w:pPr>
                  <w:pPr>
                    <w:pStyle w:val="ListParagraph"/>
                    <w:numPr>
                      <w:ilvl w:val="0"/>
                      <w:numId w:val="10"/>
                    </w:numPr>
                  </w:pPr>
                  <w:r>
                    <w:t xml:space="preserve">The application for listing or offering of foreign securities must not have been rejected by a stock exchange or any competent capital markets authority in order to protect investors or on any other similar grounds.</w:t>
                  </w:r>
                </w:p>
                <w:p>
                  <w:pPr>
                    <w:pStyle w:val="BodyText"/>
                  </w:pPr>
                  <w:pPr>
                    <w:pStyle w:val="ListParagraph"/>
                    <w:numPr>
                      <w:ilvl w:val="0"/>
                      <w:numId w:val="10"/>
                    </w:numPr>
                  </w:pPr>
                  <w:r>
                    <w:t xml:space="preserve">The foreign securities must have been issued in Turkish Lira or in a convertible currency recognized by the Central Bank of Türkiye.</w:t>
                  </w:r>
                </w:p>
                <w:p>
                  <w:pPr>
                    <w:pStyle w:val="BodyText"/>
                  </w:pPr>
                  <w:pPr>
                    <w:pStyle w:val="ListParagraph"/>
                    <w:numPr>
                      <w:ilvl w:val="0"/>
                      <w:numId w:val="10"/>
                    </w:numPr>
                  </w:pPr>
                  <w:r>
                    <w:t xml:space="preserve">The home jurisdiction must not have imposed any restriction on the sale of the foreign securities in Türkiye, the performance of transactions and payments in relation to the financial rights the securities grant in Türkiye, and the exercise of managerial rights arising therefrom.</w:t>
                  </w:r>
                </w:p>
                <w:p>
                  <w:pPr>
                    <w:pStyle w:val="BodyText"/>
                  </w:pPr>
                  <w:pPr>
                    <w:pStyle w:val="ListParagraph"/>
                    <w:numPr>
                      <w:ilvl w:val="0"/>
                      <w:numId w:val="10"/>
                    </w:numPr>
                  </w:pPr>
                  <w:r>
                    <w:t xml:space="preserve">In case of the issuance of foreign securities other than shares, the foreign issuer is required to obtain a long term grade confirming that such securities are adequate for investment according to the rating scale from a rating agency, within a year prior to the application to the CMB.</w:t>
                  </w:r>
                </w:p>
                <w:p>
                  <w:pPr>
                    <w:pStyle w:val="BodyText"/>
                  </w:pPr>
                  <w:pPr>
                    <w:pStyle w:val="ListParagraph"/>
                    <w:numPr>
                      <w:ilvl w:val="0"/>
                      <w:numId w:val="10"/>
                    </w:numPr>
                  </w:pPr>
                  <w:r>
                    <w:t xml:space="preserve">The foreign issuer and/or the shareholders are required to enter into an agreement with a representative in Türkiye, who performs certain transactions on behalf of the shareholders or the issuer, as the case may be, and ensures that the financial and managerial rights of the investors are exercised in compliance with the laws and regulations to which the shares are subject.</w:t>
                  </w:r>
                </w:p>
                <w:p>
                  <w:pPr>
                    <w:pStyle w:val="BodyText"/>
                  </w:pPr>
                  <w:r>
                    <w:t xml:space="preserve">Foreign issuers are exempt from certain CMB requirements such as publishing of the draft prospectus on the website of the issuer and the broker.</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Contacts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Contacts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address all inquiries to </w:t>
                  </w:r>
                  <w:hyperlink w:history="true" r:id="R4020884396284d0c">
                    <w:r>
                      <w:rPr>
                        <w:rStyle w:val="Hyperlink"/>
                      </w:rPr>
                      <w:t xml:space="preserve">CrossBorderListings@bakermckenzie.com</w:t>
                    </w:r>
                  </w:hyperlink>
                  <w:r>
                    <w:t xml:space="preserve">.</w:t>
                  </w:r>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26"/>
    <w:lvlOverride w:ilvl="0">
      <w:startOverride w:val="1"/>
    </w:lvlOverride>
  </w:num>
  <w:num w:numId="13">
    <w:abstractNumId w:val="34"/>
    <w:lvlOverride w:ilvl="0">
      <w:startOverride w:val="1"/>
    </w:lvlOverride>
  </w:num>
  <w:num w:numId="14">
    <w:abstractNumId w:val="34"/>
    <w:lvlOverride w:ilvl="0">
      <w:startOverride w:val="1"/>
    </w:lvlOverride>
  </w:num>
  <w:num w:numId="15">
    <w:abstractNumId w:val="42"/>
    <w:lvlOverride w:ilvl="0">
      <w:startOverride w:val="1"/>
    </w:lvlOverride>
  </w:num>
  <w:num w:numId="16">
    <w:abstractNumId w:val="42"/>
    <w:lvlOverride w:ilvl="0">
      <w:startOverride w:val="1"/>
    </w:lvlOverride>
  </w:num>
  <w:num w:numId="17">
    <w:abstractNumId w:val="42"/>
    <w:lvlOverride w:ilvl="0">
      <w:startOverride w:val="1"/>
    </w:lvlOverride>
  </w:num>
  <w:num w:numId="18">
    <w:abstractNumId w:val="42"/>
    <w:lvlOverride w:ilvl="0">
      <w:startOverride w:val="1"/>
    </w:lvlOverride>
  </w:num>
  <w:num w:numId="19">
    <w:abstractNumId w:val="42"/>
    <w:lvlOverride w:ilvl="0">
      <w:startOverride w:val="1"/>
    </w:lvlOverride>
  </w:num>
  <w:num w:numId="20">
    <w:abstractNumId w:val="50"/>
    <w:lvlOverride w:ilvl="0">
      <w:startOverride w:val="1"/>
    </w:lvlOverride>
  </w:num>
  <w:num w:numId="21">
    <w:abstractNumId w:val="5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mailto:CrossBorderListings@bakermckenzie.com" TargetMode="External" Id="R4020884396284d0c" /><Relationship Type="http://schemas.openxmlformats.org/officeDocument/2006/relationships/hyperlink" Target="https://resourcehub.bakermckenzie.com/en/-/media/crossborder-listings-handbook/files/2024-update-10th-edition/borsa-istanbul---long-form---listing-documentation-and-process.pdf?rev=b272ee692c1a40dc8409c56f9eec39b2&amp;sc_lang=en" TargetMode="External" Id="R6069f7efb6d842c0" /><Relationship Type="http://schemas.openxmlformats.org/officeDocument/2006/relationships/hyperlink" Target="https://resourcehub.bakermckenzie.com/en/-/media/crossborder-listings-handbook/files/2020-update-8th-edition/borsaistanbullisting-documentation-and-process_2.pdf?rev=b10400f691694151a1c475eaf2c857f6" TargetMode="External" Id="R7d27f5b0fa8548cd" /><Relationship Type="http://schemas.openxmlformats.org/officeDocument/2006/relationships/hyperlink" Target="https://resourcehub.bakermckenzie.com/en/-/media/crossborder-listings-handbook/files/2026/borsa-istanbul---long-form---principal-listing.pdf?rev=f68db2aadf7b4a628174dc86d5da97cd&amp;sc_lang=en" TargetMode="External" Id="R4fb6881c7cae4667" /><Relationship Type="http://schemas.openxmlformats.org/officeDocument/2006/relationships/hyperlink" Target="https://resourcehub.bakermckenzie.com/en/-/media/crossborder-listings-handbook/files/2020-update-8th-edition/borsaistanbullisting-process.pdf?rev=8552d97c5cc746bbb705fd08957878dc" TargetMode="External" Id="Rc342017f4262491d" /><Relationship Type="http://schemas.openxmlformats.org/officeDocument/2006/relationships/hyperlink" Target="https://resourcehub.bakermckenzie.com/en/-/media/crossborder-listings-handbook/files/2026/borsa-istanbul---initial-financial-listing-requirements.pdf?rev=e39a1149498947908f8e24b9b6b0f19b&amp;sc_lang=en" TargetMode="External" Id="Ra205a82d01ee4da2"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