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Vietnam</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9"/>
                </w:numPr>
              </w:pPr>
              <w:r>
                <w:t xml:space="preserve">Land</w:t>
              </w:r>
            </w:p>
            <w:p>
              <w:pPr>
                <w:pStyle w:val="BodyText"/>
              </w:pPr>
              <w:pPr>
                <w:pStyle w:val="ListParagraph"/>
                <w:numPr>
                  <w:ilvl w:val="0"/>
                  <w:numId w:val="19"/>
                </w:numPr>
              </w:pPr>
              <w:r>
                <w:t xml:space="preserve">Houses, construction works attached to the land</w:t>
              </w:r>
            </w:p>
            <w:p>
              <w:pPr>
                <w:pStyle w:val="BodyText"/>
              </w:pPr>
              <w:pPr>
                <w:pStyle w:val="ListParagraph"/>
                <w:numPr>
                  <w:ilvl w:val="0"/>
                  <w:numId w:val="19"/>
                </w:numPr>
              </w:pPr>
              <w:r>
                <w:t xml:space="preserve">Other properties attached to the land, houses or construction works</w:t>
              </w:r>
            </w:p>
            <w:p>
              <w:pPr>
                <w:pStyle w:val="BodyText"/>
              </w:pPr>
              <w:pPr>
                <w:pStyle w:val="ListParagraph"/>
                <w:numPr>
                  <w:ilvl w:val="0"/>
                  <w:numId w:val="19"/>
                </w:numPr>
              </w:pPr>
              <w:r>
                <w:t xml:space="preserve">Other properties as provided by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laws generally govern real estate transactions:</w:t>
              </w:r>
            </w:p>
            <w:p>
              <w:pPr>
                <w:pStyle w:val="BodyText"/>
              </w:pPr>
              <w:pPr>
                <w:pStyle w:val="ListParagraph"/>
                <w:numPr>
                  <w:ilvl w:val="0"/>
                  <w:numId w:val="18"/>
                </w:numPr>
              </w:pPr>
              <w:r>
                <w:t xml:space="preserve">Land Law</w:t>
              </w:r>
            </w:p>
            <w:p>
              <w:pPr>
                <w:pStyle w:val="BodyText"/>
              </w:pPr>
              <w:pPr>
                <w:pStyle w:val="ListParagraph"/>
                <w:numPr>
                  <w:ilvl w:val="0"/>
                  <w:numId w:val="18"/>
                </w:numPr>
              </w:pPr>
              <w:r>
                <w:t xml:space="preserve">Real Estate Business Law</w:t>
              </w:r>
            </w:p>
            <w:p>
              <w:pPr>
                <w:pStyle w:val="BodyText"/>
              </w:pPr>
              <w:pPr>
                <w:pStyle w:val="ListParagraph"/>
                <w:numPr>
                  <w:ilvl w:val="0"/>
                  <w:numId w:val="18"/>
                </w:numPr>
              </w:pPr>
              <w:r>
                <w:t xml:space="preserve">Housing Law</w:t>
              </w:r>
            </w:p>
            <w:p>
              <w:pPr>
                <w:pStyle w:val="BodyText"/>
              </w:pPr>
              <w:pPr>
                <w:pStyle w:val="ListParagraph"/>
                <w:numPr>
                  <w:ilvl w:val="0"/>
                  <w:numId w:val="18"/>
                </w:numPr>
              </w:pPr>
              <w:r>
                <w:t xml:space="preserve">The Civil Code</w:t>
              </w:r>
            </w:p>
            <w:p>
              <w:pPr>
                <w:pStyle w:val="BodyText"/>
              </w:pPr>
              <w:pPr>
                <w:pStyle w:val="ListParagraph"/>
                <w:numPr>
                  <w:ilvl w:val="0"/>
                  <w:numId w:val="18"/>
                </w:numPr>
              </w:pPr>
              <w:r>
                <w:t xml:space="preserve">Enterprise Law</w:t>
              </w:r>
            </w:p>
            <w:p>
              <w:pPr>
                <w:pStyle w:val="BodyText"/>
              </w:pPr>
              <w:pPr>
                <w:pStyle w:val="ListParagraph"/>
                <w:numPr>
                  <w:ilvl w:val="0"/>
                  <w:numId w:val="18"/>
                </w:numPr>
              </w:pPr>
              <w:r>
                <w:t xml:space="preserve">Investment Law</w:t>
              </w:r>
            </w:p>
            <w:p>
              <w:pPr>
                <w:pStyle w:val="BodyText"/>
              </w:pPr>
              <w:pPr>
                <w:pStyle w:val="ListParagraph"/>
                <w:numPr>
                  <w:ilvl w:val="0"/>
                  <w:numId w:val="18"/>
                </w:numPr>
              </w:pPr>
              <w:r>
                <w:t xml:space="preserve">Law on Energy Efficiency and Conservation</w:t>
              </w:r>
            </w:p>
            <w:p>
              <w:pPr>
                <w:pStyle w:val="BodyText"/>
              </w:pPr>
              <w:pPr>
                <w:pStyle w:val="ListParagraph"/>
                <w:numPr>
                  <w:ilvl w:val="0"/>
                  <w:numId w:val="18"/>
                </w:numPr>
              </w:pPr>
              <w:r>
                <w:t xml:space="preserve">Notarization Law</w:t>
              </w:r>
            </w:p>
            <w:p>
              <w:pPr>
                <w:pStyle w:val="BodyText"/>
              </w:pPr>
              <w:pPr>
                <w:pStyle w:val="ListParagraph"/>
                <w:numPr>
                  <w:ilvl w:val="0"/>
                  <w:numId w:val="18"/>
                </w:numPr>
              </w:pPr>
              <w:r>
                <w:t xml:space="preserve">Other specialized laws for special real estate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current Land Registration System (also known as the Immovable Property registration system) provides for the following:</w:t>
              </w:r>
            </w:p>
            <w:p>
              <w:pPr>
                <w:pStyle w:val="BodyText"/>
              </w:pPr>
              <w:pPr>
                <w:pStyle w:val="ListParagraph"/>
                <w:numPr>
                  <w:ilvl w:val="0"/>
                  <w:numId w:val="17"/>
                </w:numPr>
              </w:pPr>
              <w:r>
                <w:t xml:space="preserve">The provincial People's Committee (or its authorized provincial department of natural resources and the environment) issues the Certificate of Land Use Rights and Ownership of Residential House and other Assets Attached to the Land (the “Land Use Rights Certificate”) for general organizations, religious organizations, Vietnamese individuals residing overseas, foreign-invested enterprises carrying out investment projects and foreign diplomatic organizations.</w:t>
              </w:r>
            </w:p>
            <w:p>
              <w:pPr>
                <w:pStyle w:val="BodyText"/>
              </w:pPr>
              <w:r>
                <w:t xml:space="preserve"> </w:t>
              </w:r>
            </w:p>
            <w:p>
              <w:pPr>
                <w:pStyle w:val="BodyText"/>
              </w:pPr>
              <w:pPr>
                <w:pStyle w:val="ListParagraph"/>
                <w:numPr>
                  <w:ilvl w:val="0"/>
                  <w:numId w:val="17"/>
                </w:numPr>
              </w:pPr>
              <w:r>
                <w:t xml:space="preserve">The district-level People's Committee issues the Land Use Rights Certificate for Vietnamese households, Vietnamese individuals, Vietnamese communities, or Vietnamese individuals residing overseas who are eligible to own houses attached to residential land use rights in Vietnam.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provincial or district level Land Use Rights Registration Office, which belongs to the respective Department of Natural Resources and Environment in the provincial or district authority. But this office is just for the receipt and the return of the application dossiers. The decision-making and issuance body is the same as described for the Real Property Registration system in “What is the land registration system?”.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changes to the rights over the land use rights (and/or assets attached to the land) of the land user shall be registered:</w:t>
              </w:r>
            </w:p>
            <w:p>
              <w:pPr>
                <w:pStyle w:val="BodyText"/>
              </w:pPr>
              <w:pPr>
                <w:pStyle w:val="ListParagraph"/>
                <w:numPr>
                  <w:ilvl w:val="0"/>
                  <w:numId w:val="16"/>
                </w:numPr>
              </w:pPr>
              <w:r>
                <w:t xml:space="preserve">Transfers </w:t>
              </w:r>
            </w:p>
            <w:p>
              <w:pPr>
                <w:pStyle w:val="BodyText"/>
              </w:pPr>
              <w:pPr>
                <w:pStyle w:val="ListParagraph"/>
                <w:numPr>
                  <w:ilvl w:val="0"/>
                  <w:numId w:val="16"/>
                </w:numPr>
              </w:pPr>
              <w:r>
                <w:t xml:space="preserve">Inheritances</w:t>
              </w:r>
            </w:p>
            <w:p>
              <w:pPr>
                <w:pStyle w:val="BodyText"/>
              </w:pPr>
              <w:pPr>
                <w:pStyle w:val="ListParagraph"/>
                <w:numPr>
                  <w:ilvl w:val="0"/>
                  <w:numId w:val="16"/>
                </w:numPr>
              </w:pPr>
              <w:r>
                <w:t xml:space="preserve">Donations/Gifts</w:t>
              </w:r>
            </w:p>
            <w:p>
              <w:pPr>
                <w:pStyle w:val="BodyText"/>
              </w:pPr>
              <w:pPr>
                <w:pStyle w:val="ListParagraph"/>
                <w:numPr>
                  <w:ilvl w:val="0"/>
                  <w:numId w:val="16"/>
                </w:numPr>
              </w:pPr>
              <w:r>
                <w:t xml:space="preserve">Leases and subleases</w:t>
              </w:r>
            </w:p>
            <w:p>
              <w:pPr>
                <w:pStyle w:val="BodyText"/>
              </w:pPr>
              <w:pPr>
                <w:pStyle w:val="ListParagraph"/>
                <w:numPr>
                  <w:ilvl w:val="0"/>
                  <w:numId w:val="16"/>
                </w:numPr>
              </w:pPr>
              <w:r>
                <w:t xml:space="preserve">Contributions as capital</w:t>
              </w:r>
            </w:p>
            <w:p>
              <w:pPr>
                <w:pStyle w:val="BodyText"/>
              </w:pPr>
              <w:pPr>
                <w:pStyle w:val="ListParagraph"/>
                <w:numPr>
                  <w:ilvl w:val="0"/>
                  <w:numId w:val="16"/>
                </w:numPr>
              </w:pPr>
              <w:r>
                <w:t xml:space="preserve">Changes to the configuration, size, area, number or address of the land</w:t>
              </w:r>
            </w:p>
            <w:p>
              <w:pPr>
                <w:pStyle w:val="BodyText"/>
              </w:pPr>
              <w:pPr>
                <w:pStyle w:val="ListParagraph"/>
                <w:numPr>
                  <w:ilvl w:val="0"/>
                  <w:numId w:val="16"/>
                </w:numPr>
              </w:pPr>
              <w:r>
                <w:t xml:space="preserve">Changes in the assets attached to the land as compared to the items already registered</w:t>
              </w:r>
            </w:p>
            <w:p>
              <w:pPr>
                <w:pStyle w:val="BodyText"/>
              </w:pPr>
              <w:pPr>
                <w:pStyle w:val="ListParagraph"/>
                <w:numPr>
                  <w:ilvl w:val="0"/>
                  <w:numId w:val="16"/>
                </w:numPr>
              </w:pPr>
              <w:r>
                <w:t xml:space="preserve">Conversion of land use purpose</w:t>
              </w:r>
            </w:p>
            <w:p>
              <w:pPr>
                <w:pStyle w:val="BodyText"/>
              </w:pPr>
              <w:pPr>
                <w:pStyle w:val="ListParagraph"/>
                <w:numPr>
                  <w:ilvl w:val="0"/>
                  <w:numId w:val="16"/>
                </w:numPr>
              </w:pPr>
              <w:r>
                <w:t xml:space="preserve">Change in the land use term</w:t>
              </w:r>
            </w:p>
            <w:p>
              <w:pPr>
                <w:pStyle w:val="BodyText"/>
              </w:pPr>
              <w:pPr>
                <w:pStyle w:val="ListParagraph"/>
                <w:numPr>
                  <w:ilvl w:val="0"/>
                  <w:numId w:val="16"/>
                </w:numPr>
              </w:pPr>
              <w:r>
                <w:t xml:space="preserve">Mortgages</w:t>
              </w:r>
            </w:p>
            <w:p>
              <w:pPr>
                <w:pStyle w:val="BodyText"/>
              </w:pPr>
              <w:pPr>
                <w:pStyle w:val="ListParagraph"/>
                <w:numPr>
                  <w:ilvl w:val="0"/>
                  <w:numId w:val="16"/>
                </w:numPr>
              </w:pPr>
              <w:r>
                <w:t xml:space="preserve">Easements in respect of adjacent parcel(s) of land</w:t>
              </w:r>
            </w:p>
            <w:p>
              <w:pPr>
                <w:pStyle w:val="BodyText"/>
              </w:pPr>
              <w:pPr>
                <w:pStyle w:val="ListParagraph"/>
                <w:numPr>
                  <w:ilvl w:val="0"/>
                  <w:numId w:val="16"/>
                </w:numPr>
              </w:pPr>
              <w:r>
                <w:t xml:space="preserve">Restrictions on the rights of the land user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document that the land owner can use to prove ownership over real property is the Land Use Rights Certificate, as well as the state decisions on leasing or allocating land. Aside from this, there are other old forms of ownership title documents as regulated by the old land law. Some title documents still remain valid, including the certificate of land use rights (red book), certificate of house ownership and residential land use rights (pink book), certificate of construction ownership (i.e., the land title templates in the 2003 Land Law). Some title documents shall be converted to the current single and unified form of ownership title, including, for example, documents on the right to use land prior to 1993 during the implementation of the land policies of Vietnam.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Although the law provides the option of land searches via a public portal, so far not many provinces have set up a reliable online portal for title searches. The law also provides that any interested party can send a written request for information to the local Land Registration Office. However, in practice, the authorities typically only accept requests for information from parties with direct relationship with the land (e.g., the owners, prospective buyers).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foreign organizations and foreign individuals cannot freely own or acquire (purchase) land use rights from a party in Vietnam. Foreigners can indirectly own real property by (a) acquiring shares or charter capital in Vietnamese joint stock companies or limited liability companies, respectively, and these entities may already own a Land Use Rights Certificate or can carry out investment projects in Vietnam and hold the Land Use Rights Certificate for such projects through land lease or land allocation from the state.</w:t>
              </w:r>
            </w:p>
            <w:p>
              <w:pPr>
                <w:pStyle w:val="BodyText"/>
              </w:pPr>
              <w:r>
                <w:t xml:space="preserve">Foreigners may set up a locally-established entity (i.e., a foreign-invested entity) in Vietnam and acquire land through the following forms:</w:t>
              </w:r>
            </w:p>
            <w:p>
              <w:pPr>
                <w:pStyle w:val="BodyText"/>
              </w:pPr>
              <w:pPr>
                <w:pStyle w:val="ListParagraph"/>
                <w:numPr>
                  <w:ilvl w:val="0"/>
                  <w:numId w:val="15"/>
                </w:numPr>
              </w:pPr>
              <w:r>
                <w:t xml:space="preserve">leasing land or be allocated land from the state (subject to a land-using project); or </w:t>
              </w:r>
            </w:p>
            <w:p>
              <w:pPr>
                <w:pStyle w:val="BodyText"/>
              </w:pPr>
              <w:pPr>
                <w:pStyle w:val="ListParagraph"/>
                <w:numPr>
                  <w:ilvl w:val="0"/>
                  <w:numId w:val="15"/>
                </w:numPr>
              </w:pPr>
              <w:r>
                <w:t xml:space="preserve">receiving land use rights in the form of capital contribution.</w:t>
              </w:r>
            </w:p>
            <w:p>
              <w:pPr>
                <w:pStyle w:val="BodyText"/>
              </w:pPr>
              <w:r>
                <w:t xml:space="preserve">100% foreign ownership is allowed (subject to Vietnam’s market access commitments and special legislations in certain sectors), and the term of land use rights ownership may be as long as 50 years, or 70 years in some circumstances (e.g., for the project development in harsh socio-economic geographical areas).</w:t>
              </w:r>
            </w:p>
            <w:p>
              <w:pPr>
                <w:pStyle w:val="BodyText"/>
              </w:pPr>
              <w:r>
                <w:t xml:space="preserve">With regards to residential properties, foreign individuals can directly own residential properties including certain condominiums or townhouse/villas, subject to certain restrictions.  Specifically, there is a 30% ownership cap on the total number of condominium units within a single condo building, and a maximum ownership of 250 villas/townhouses within the geographical scope of an administrative ward, which is currently available for foreigners buying residential properties in Vietnam. Foreign-invested organizations, representative offices or branches of foreign organizations operating in Vietnam can only buy and own residential property in Vietnam for their staff accommodation purposes. In addition, the ownership term for foreign buyers is 50 years, which can be extended to another 50 years, or can be converted to indefinite term for foreigners married to Vietnamese citizens.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government can expropriate real property.</w:t>
              </w:r>
            </w:p>
            <w:p>
              <w:pPr>
                <w:pStyle w:val="BodyText"/>
              </w:pPr>
              <w:r>
                <w:t xml:space="preserve">The state may expropriate land in the following circumstances:</w:t>
              </w:r>
            </w:p>
            <w:p>
              <w:pPr>
                <w:pStyle w:val="BodyText"/>
              </w:pPr>
              <w:pPr>
                <w:pStyle w:val="ListParagraph"/>
                <w:numPr>
                  <w:ilvl w:val="0"/>
                  <w:numId w:val="11"/>
                </w:numPr>
              </w:pPr>
              <w:r>
                <w:t xml:space="preserve">For military or security purposes</w:t>
              </w:r>
            </w:p>
            <w:p>
              <w:pPr>
                <w:pStyle w:val="BodyText"/>
              </w:pPr>
              <w:pPr>
                <w:pStyle w:val="ListParagraph"/>
                <w:numPr>
                  <w:ilvl w:val="0"/>
                  <w:numId w:val="11"/>
                </w:numPr>
              </w:pPr>
              <w:r>
                <w:t xml:space="preserve">Social-economic development projects for national and public welfare that have been approved by:</w:t>
              </w:r>
            </w:p>
            <w:p>
              <w:pPr>
                <w:pStyle w:val="BodyText"/>
              </w:pPr>
              <w:pPr>
                <w:pStyle w:val="ListParagraph"/>
                <w:numPr>
                  <w:ilvl w:val="1"/>
                  <w:numId w:val="12"/>
                </w:numPr>
                <w:ind w:left="1560"/>
              </w:pPr>
              <w:r>
                <w:t xml:space="preserve">the National Assembly</w:t>
              </w:r>
            </w:p>
            <w:p>
              <w:pPr>
                <w:pStyle w:val="BodyText"/>
              </w:pPr>
              <w:pPr>
                <w:pStyle w:val="ListParagraph"/>
                <w:numPr>
                  <w:ilvl w:val="1"/>
                  <w:numId w:val="12"/>
                </w:numPr>
                <w:ind w:left="1560"/>
              </w:pPr>
              <w:r>
                <w:t xml:space="preserve">the Prime Minister, or</w:t>
              </w:r>
            </w:p>
            <w:p>
              <w:pPr>
                <w:pStyle w:val="BodyText"/>
              </w:pPr>
              <w:pPr>
                <w:pStyle w:val="ListParagraph"/>
                <w:numPr>
                  <w:ilvl w:val="1"/>
                  <w:numId w:val="12"/>
                </w:numPr>
                <w:ind w:left="1560"/>
              </w:pPr>
              <w:r>
                <w:t xml:space="preserve">the Provincial People’s Council</w:t>
              </w:r>
            </w:p>
            <w:p>
              <w:pPr>
                <w:pStyle w:val="BodyText"/>
              </w:pPr>
              <w:r>
                <w:t xml:space="preserve">Appropriate compensation shall be paid with regards to the above cases. Compensation shall not be payable by the state with regard to the below cases:</w:t>
              </w:r>
            </w:p>
            <w:p>
              <w:pPr>
                <w:pStyle w:val="BodyText"/>
              </w:pPr>
              <w:pPr>
                <w:pStyle w:val="ListParagraph"/>
                <w:numPr>
                  <w:ilvl w:val="0"/>
                  <w:numId w:val="13"/>
                </w:numPr>
              </w:pPr>
              <w:r>
                <w:t xml:space="preserve">Where the previous land user violated land regulations by delaying the implementation of a project; the state will accommodate some delay, by providing a 24-month extension on the land use term provided the land rental fee/land use fee is paid over this period of extension. However, if the project is still not completed after the extension, the state shall expropriate the land without any compensation payable to the land user</w:t>
              </w:r>
            </w:p>
            <w:p>
              <w:pPr>
                <w:pStyle w:val="BodyText"/>
              </w:pPr>
              <w:pPr>
                <w:ind w:left="375"/>
              </w:pPr>
              <w:r>
                <w:t xml:space="preserve">Other violations of the land regulations: failure to use land for the correct purpose, land was allocated or leased to wrong subjects, land which is sold to a third party without having the right to do so.</w:t>
              </w:r>
            </w:p>
            <w:p>
              <w:pPr>
                <w:pStyle w:val="BodyText"/>
              </w:pPr>
              <w:pPr>
                <w:pStyle w:val="ListParagraph"/>
                <w:numPr>
                  <w:ilvl w:val="0"/>
                  <w:numId w:val="14"/>
                </w:numPr>
              </w:pPr>
              <w:r>
                <w:t xml:space="preserve">Land user’s dissolution, death without an heir; voluntary return of the land; expiry of the land use term; and where the land is contaminated.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real estate is held in any of the following manners:</w:t>
              </w:r>
            </w:p>
            <w:p>
              <w:pPr>
                <w:pStyle w:val="BodyText"/>
              </w:pPr>
              <w:pPr>
                <w:pStyle w:val="ListParagraph"/>
                <w:numPr>
                  <w:ilvl w:val="0"/>
                  <w:numId w:val="10"/>
                </w:numPr>
              </w:pPr>
              <w:r>
                <w:t xml:space="preserve">Land lease</w:t>
              </w:r>
            </w:p>
            <w:p>
              <w:pPr>
                <w:pStyle w:val="BodyText"/>
              </w:pPr>
              <w:pPr>
                <w:pStyle w:val="ListParagraph"/>
                <w:numPr>
                  <w:ilvl w:val="0"/>
                  <w:numId w:val="10"/>
                </w:numPr>
              </w:pPr>
              <w:r>
                <w:t xml:space="preserve">Land allocation (only for Vietnamese entities and individuals)</w:t>
              </w:r>
            </w:p>
            <w:p>
              <w:pPr>
                <w:pStyle w:val="BodyText"/>
              </w:pPr>
              <w:pPr>
                <w:pStyle w:val="ListParagraph"/>
                <w:numPr>
                  <w:ilvl w:val="0"/>
                  <w:numId w:val="10"/>
                </w:numPr>
              </w:pPr>
              <w:r>
                <w:t xml:space="preserve">Recognition of land use rights (mostly in the past and for Vietnamese entities and individuals only)</w:t>
              </w:r>
            </w:p>
            <w:p>
              <w:pPr>
                <w:pStyle w:val="BodyText"/>
              </w:pPr>
              <w:pPr>
                <w:pStyle w:val="ListParagraph"/>
                <w:numPr>
                  <w:ilvl w:val="0"/>
                  <w:numId w:val="10"/>
                </w:numPr>
              </w:pPr>
              <w:r>
                <w:t xml:space="preserve">Ownership right of private houses, construction and premises attached to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Limited liability company</w:t>
              </w:r>
            </w:p>
            <w:p>
              <w:pPr>
                <w:pStyle w:val="BodyText"/>
              </w:pPr>
              <w:pPr>
                <w:pStyle w:val="ListParagraph"/>
                <w:numPr>
                  <w:ilvl w:val="0"/>
                  <w:numId w:val="9"/>
                </w:numPr>
              </w:pPr>
              <w:r>
                <w:t xml:space="preserve">Joint stock company</w:t>
              </w:r>
            </w:p>
            <w:p>
              <w:pPr>
                <w:pStyle w:val="BodyText"/>
              </w:pPr>
              <w:pPr>
                <w:pStyle w:val="ListParagraph"/>
                <w:numPr>
                  <w:ilvl w:val="0"/>
                  <w:numId w:val="9"/>
                </w:numPr>
              </w:pPr>
              <w:r>
                <w:t xml:space="preserve">Business cooperation contract</w:t>
              </w:r>
            </w:p>
            <w:p>
              <w:pPr>
                <w:pStyle w:val="BodyText"/>
              </w:pPr>
              <w:pPr>
                <w:pStyle w:val="ListParagraph"/>
                <w:numPr>
                  <w:ilvl w:val="0"/>
                  <w:numId w:val="9"/>
                </w:numPr>
              </w:pPr>
              <w:r>
                <w:t xml:space="preserve">Build-operate-transfer, build-transfer-operate and build-transfer projects</w:t>
              </w:r>
            </w:p>
            <w:p>
              <w:pPr>
                <w:pStyle w:val="BodyText"/>
              </w:pPr>
              <w:pPr>
                <w:pStyle w:val="ListParagraph"/>
                <w:numPr>
                  <w:ilvl w:val="0"/>
                  <w:numId w:val="9"/>
                </w:numPr>
              </w:pPr>
              <w:r>
                <w:t xml:space="preserve">Public-private partnerships</w:t>
              </w:r>
            </w:p>
            <w:p>
              <w:pPr>
                <w:pStyle w:val="BodyText"/>
              </w:pPr>
              <w:pPr>
                <w:pStyle w:val="ListParagraph"/>
                <w:numPr>
                  <w:ilvl w:val="0"/>
                  <w:numId w:val="9"/>
                </w:numPr>
              </w:pPr>
              <w:r>
                <w:t xml:space="preserve">Individual (for residential purposes, with certain restrictions)</w:t>
              </w:r>
            </w:p>
            <w:p>
              <w:pPr>
                <w:pStyle w:val="BodyText"/>
              </w:pPr>
              <w:r>
                <w:t xml:space="preserve">The choice of an appropriate structure will depend on the nature and use of the particular property and parties involved in the acquisition.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financing is mostly arranged through credit institutions operating in Vietnam that are licensed to engage in the lending business. The assets attached to the land or the underlying land use rights can both be mortgaged depending on whether the land rental payment is made annually or on lump sum. Funds for real estate transactions are subject to limitations by several security ratios as regulated by the state bank at the time. In addition, the land regulations impose gearing </w:t>
              </w:r>
              <w:r>
                <w:t xml:space="preserve">ratios (D/E) for projects which have been leased or allocated land from the state, namely 80/20 for projects using a land area lower than 20 ha, and 85/15 if the land area is 20 ha or more. Foreign lenders may lend to Vietnam’s real estate projects, subject to state bank rules and registration requirements, but their security rights with respect to real property collateral are limited.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matter is negotiable by the parties involved. Market practice tends towards the seller producing the first draft.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some cases.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Certain liabilities are applied to those who caused them, not the owner or tenant, unless otherwise agreed by the parties involved.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33"/>
    <w:lvlOverride w:ilvl="0">
      <w:startOverride w:val="1"/>
    </w:lvlOverride>
  </w:num>
  <w:num w:numId="16">
    <w:abstractNumId w:val="41"/>
    <w:lvlOverride w:ilvl="0">
      <w:startOverride w:val="1"/>
    </w:lvlOverride>
  </w:num>
  <w:num w:numId="17">
    <w:abstractNumId w:val="49"/>
    <w:lvlOverride w:ilvl="0">
      <w:startOverride w:val="1"/>
    </w:lvlOverride>
  </w:num>
  <w:num w:numId="18">
    <w:abstractNumId w:val="57"/>
    <w:lvlOverride w:ilvl="0">
      <w:startOverride w:val="1"/>
    </w:lvlOverride>
  </w:num>
  <w:num w:numId="19">
    <w:abstractNumId w:val="6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