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Bilateral:</w:t>
                  </w:r>
                </w:p>
                <w:p>
                  <w:pPr>
                    <w:pStyle w:val="BodyText"/>
                  </w:pPr>
                  <w:r>
                    <w:t xml:space="preserve">Brunei, Hong Kong, India (parts only), New Zealand, Singapore, Sri Lanka, United Kingdom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3 to 6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6 months to 1 year.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1,000 - 4,000.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5,000 - 10,000.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3 to 6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6 months to 1 year.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1,000 - 4,000.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5,000 - 10,000.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a foreign judgment or arbitration award is sought to be registered for enforcement in Malaysia, the Malaysian Reciprocal Enforcement of Judgments Act 1958 and the Limitation Act 1953 will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6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6 years.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Chew Kherk Ying, Mohd Arief Emran, Eddie Chuah.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cause papers and the sealed judgment or award, notarised documents (if necessary under the law of the place of award or court order).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790123"/>
                      <w:sz w:val="24"/>
                    </w:rPr>
                    <w:t xml:space="preserve">Asia Pacific</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Malaysia.</w:t>
                  </w:r>
                </w:p>
                <w:p>
                  <w:pPr>
                    <w:pStyle w:val="BodyText"/>
                  </w:pPr>
                  <w:hyperlink w:history="true" r:id="Rc363f2dad22c40b1">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ap/malaysia.pdf?sc_lang=en" TargetMode="External" Id="Rc363f2dad22c40b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