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Data and Cyber Handbook Lite - Hong Kong</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Key Data &amp; Cyber Contacts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Key Data and Cybersecurity Laws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data privacy laws and regulations?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31 December 2025</w:t>
                  </w:r>
                </w:p>
                <w:p>
                  <w:pPr>
                    <w:pStyle w:val="BodyText"/>
                  </w:pPr>
                  <w:hyperlink w:history="true" r:id="R1f2d52c0e2684144">
                    <w:r>
                      <w:rPr>
                        <w:rStyle w:val="Hyperlink"/>
                      </w:rPr>
                      <w:t xml:space="preserve">Personal Data (Privacy) Ordinance (Chapter 486 of Laws of Hong Kong)</w:t>
                    </w:r>
                  </w:hyperlink>
                  <w:r>
                    <w:t xml:space="preserve"> (PDPO)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cybersecurity laws and regulations?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31 December 2025</w:t>
                  </w:r>
                </w:p>
                <w:p>
                  <w:pPr>
                    <w:pStyle w:val="BodyText"/>
                  </w:pPr>
                  <w:hyperlink w:history="true" r:id="R4b091f05f71d4d67">
                    <w:r>
                      <w:rPr>
                        <w:rStyle w:val="Hyperlink"/>
                      </w:rPr>
                      <w:t xml:space="preserve">Protection of Critical Infrastructures (Computer Systems) Ordinance (Chapter 653 of Laws of Hong Kong)</w:t>
                    </w:r>
                  </w:hyperlink>
                  <w:r>
                    <w:t xml:space="preserve"> (CI Ordinance) (effective 1 January 2026)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laws and regulations relating to non-personal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w:t>
                  </w:r>
                  <w:r>
                    <w:rPr>
                      <w:i/>
                    </w:rPr>
                    <w:t xml:space="preserve">31 December 2025</w:t>
                  </w:r>
                </w:p>
                <w:p>
                  <w:pPr>
                    <w:pStyle w:val="BodyText"/>
                  </w:pPr>
                  <w:r>
                    <w:t xml:space="preserve">There are no specific laws and regulations relating to non-personal data. Non-personal data falls outside the scope of the PDPO.</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Regulators, Remedies and Penalties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potential penalties/remedies for non-compliance with the key data and cybersecurity laws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31 December 2025</w:t>
                  </w:r>
                </w:p>
                <w:p>
                  <w:pPr>
                    <w:pStyle w:val="BodyText"/>
                  </w:pPr>
                  <w:r>
                    <w:rPr>
                      <w:b/>
                    </w:rPr>
                    <w:t xml:space="preserve">Data</w:t>
                  </w:r>
                </w:p>
                <w:p>
                  <w:pPr>
                    <w:pStyle w:val="BodyText"/>
                  </w:pPr>
                  <w:r>
                    <w:t xml:space="preserve">☒ Administrative remedies/civil penalties applied by regulators and law enforcement</w:t>
                  </w:r>
                  <w:r>
                    <w:br/>
                  </w:r>
                  <w:r>
                    <w:t xml:space="preserve">☒ Criminal penalties from regulators and law enforcement</w:t>
                  </w:r>
                  <w:r>
                    <w:br/>
                  </w:r>
                  <w:r>
                    <w:t xml:space="preserve">☒ Private remedies</w:t>
                  </w:r>
                  <w:r>
                    <w:br/>
                  </w:r>
                  <w:r>
                    <w:t xml:space="preserve">☐ Other</w:t>
                  </w:r>
                </w:p>
                <w:p>
                  <w:pPr>
                    <w:pStyle w:val="BodyText"/>
                  </w:pPr>
                  <w:r>
                    <w:rPr>
                      <w:b/>
                    </w:rPr>
                    <w:t xml:space="preserve">Cyber</w:t>
                  </w:r>
                </w:p>
                <w:p>
                  <w:pPr>
                    <w:pStyle w:val="BodyText"/>
                  </w:pPr>
                  <w:r>
                    <w:t xml:space="preserve">☒ Administrative remedies/civil penalties applied by regulators and law enforcement</w:t>
                  </w:r>
                  <w:r>
                    <w:br/>
                  </w:r>
                  <w:r>
                    <w:t xml:space="preserve">☒ Criminal penalties from regulators and law enforcement</w:t>
                  </w:r>
                  <w:r>
                    <w:br/>
                  </w:r>
                  <w:r>
                    <w:t xml:space="preserve">☐ Private remedies</w:t>
                  </w:r>
                  <w:r>
                    <w:br/>
                  </w:r>
                  <w:r>
                    <w:t xml:space="preserve">☐ Other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Territorial Scope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territorial reach of the data privacy and cybersecurity laws?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31 December 2025</w:t>
                  </w:r>
                </w:p>
                <w:p>
                  <w:pPr>
                    <w:pStyle w:val="BodyText"/>
                  </w:pPr>
                  <w:r>
                    <w:rPr>
                      <w:b/>
                    </w:rPr>
                    <w:t xml:space="preserve">Data</w:t>
                  </w:r>
                </w:p>
                <w:p>
                  <w:pPr>
                    <w:pStyle w:val="BodyText"/>
                  </w:pPr>
                  <w:r>
                    <w:t xml:space="preserve">☐ Applies </w:t>
                  </w:r>
                  <w:r>
                    <w:rPr>
                      <w:u w:val="single"/>
                    </w:rPr>
                    <w:t xml:space="preserve">only</w:t>
                  </w:r>
                  <w:r>
                    <w:t xml:space="preserve"> to organizations located in the jurisdiction</w:t>
                  </w:r>
                </w:p>
                <w:p>
                  <w:pPr>
                    <w:pStyle w:val="BodyText"/>
                  </w:pPr>
                  <w:r>
                    <w:t xml:space="preserve">☒ Applies to organizations located outside of the jurisdiction in specific circumstances, e.g., offering goods or services to and/or monitoring behavior of data subjects in the jurisdiction (only with respect to cessation notices served under the anti-doxxing provisions)</w:t>
                  </w:r>
                </w:p>
                <w:p>
                  <w:pPr>
                    <w:pStyle w:val="BodyText"/>
                  </w:pPr>
                  <w:r>
                    <w:t xml:space="preserve">☐ No express territorial scope, but would require some nexus to the jurisdiction</w:t>
                  </w:r>
                </w:p>
                <w:p>
                  <w:pPr>
                    <w:pStyle w:val="BodyText"/>
                  </w:pPr>
                  <w:r>
                    <w:t xml:space="preserve">☐ Other</w:t>
                  </w:r>
                </w:p>
                <w:p>
                  <w:pPr>
                    <w:pStyle w:val="BodyText"/>
                  </w:pPr>
                  <w:r>
                    <w:rPr>
                      <w:b/>
                    </w:rPr>
                    <w:t xml:space="preserve">Cyber</w:t>
                  </w:r>
                </w:p>
                <w:p>
                  <w:pPr>
                    <w:pStyle w:val="BodyText"/>
                  </w:pPr>
                  <w:r>
                    <w:t xml:space="preserve">☒ Applies </w:t>
                  </w:r>
                  <w:r>
                    <w:rPr>
                      <w:u w:val="single"/>
                    </w:rPr>
                    <w:t xml:space="preserve">only</w:t>
                  </w:r>
                  <w:r>
                    <w:t xml:space="preserve"> to organizations located in the jurisdiction (but note that the relevant organizations, namely the CIOs, could be made subject to obligations in relation to computer systems that are outside Hong Kong, but accessible from the CIOs in or from Hong Kong).</w:t>
                  </w:r>
                </w:p>
                <w:p>
                  <w:pPr>
                    <w:pStyle w:val="BodyText"/>
                  </w:pPr>
                  <w:r>
                    <w:t xml:space="preserve">☐ Applies to organizations located outside of the jurisdiction in specific circumstances, e.g., offering goods or services to and/or monitoring behavior of data subjects in the jurisdiction</w:t>
                  </w:r>
                </w:p>
                <w:p>
                  <w:pPr>
                    <w:pStyle w:val="BodyText"/>
                  </w:pPr>
                  <w:r>
                    <w:t xml:space="preserve">☐ No express territorial scope, but would require some nexus to the jurisdiction</w:t>
                  </w:r>
                </w:p>
                <w:p>
                  <w:pPr>
                    <w:pStyle w:val="BodyText"/>
                  </w:pPr>
                  <w:r>
                    <w:t xml:space="preserve">☐ Other </w:t>
                  </w:r>
                </w:p>
              </w:sdtContent>
            </w:sdt>
          </w:sdtContent>
        </w:sdt>
      </w:sdtContent>
    </w:sdt>
    <w:p>
      <w:pPr>
        <w:pStyle w:val="Disclaimer"/>
      </w:pPr>
      <w:r>
        <w:rPr>
          <w:sz w:val="16"/>
        </w:rPr>
        <w:t xml:space="preserve">Copyright © 2026 Baker &amp; McKenzie. All rights reserved. </w:t>
      </w:r>
      <w:r>
        <w:rPr>
          <w:b/>
          <w:sz w:val="16"/>
        </w:rPr>
        <w:t xml:space="preserve">Ownership</w:t>
      </w:r>
      <w:r>
        <w:rPr>
          <w:sz w:val="16"/>
        </w:rP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sz w:val="16"/>
        </w:rPr>
        <w:t xml:space="preserve">Non-reliance and exclusion</w:t>
      </w:r>
      <w:r>
        <w:rPr>
          <w:sz w:val="16"/>
        </w:rP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sz w:val="16"/>
        </w:rPr>
        <w:t xml:space="preserve">Attorney Advertising</w:t>
      </w:r>
      <w:r>
        <w:rPr>
          <w:sz w:val="16"/>
        </w:rPr>
        <w:t xml:space="preserve">: This Content may qualify as “Attorney Advertising” requiring notice in some jurisdictions. To the extent that this Content may qualify as Attorney Advertising, PRIOR RESULTS DO NOT GUARANTEE A SIMILAR OUTCOME. </w:t>
      </w:r>
      <w:r>
        <w:rPr>
          <w:b/>
          <w:sz w:val="16"/>
        </w:rPr>
        <w:t xml:space="preserve">Reproduction</w:t>
      </w:r>
      <w:r>
        <w:rPr>
          <w:sz w:val="16"/>
        </w:rP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https://resourcehub.bakermckenzie.com/en/resources/global-data-and-cyber-handbook-lite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elegislation.gov.hk/hk/2025/4!en" TargetMode="External" Id="R4b091f05f71d4d67" /><Relationship Type="http://schemas.openxmlformats.org/officeDocument/2006/relationships/hyperlink" Target="https://www.elegislation.gov.hk/hk/cap486" TargetMode="External" Id="R1f2d52c0e2684144"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