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Luxembourg</w:t>
      </w:r>
      <w:r w:rsidR="00480329"/>
    </w:p>
    <w:p w:rsidRPr="00BC7873" w:rsidR="00BC7873" w:rsidP="00D354EF" w:rsidRDefault="00051AB4" w14:paraId="2476CC56" w14:textId="2FB25FA9">
      <w:pPr>
        <w:pStyle w:val="Title"/>
      </w:pPr>
      <w:r w:rsidRPr="00BC7873">
        <w:t>Delisting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Delisting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To delist a Luxembourg company, a request must be made to the LSE. To make its decision, the board of the LSE takes into account the interests of the market, the investors and the issuer. The intention to delist the shares must be fully disclosed in any takeover bid document and must be discussed with the LSE in advance. Following the takeover bid, the target's board can decide to delist, after having notified the LSE.</w:t>
              </w:r>
            </w:p>
            <w:p>
              <w:pPr>
                <w:pStyle w:val="BodyText"/>
              </w:pPr>
              <w:r>
                <w:t xml:space="preserve">The CSSF may oppose a delisting of a Luxembourg company that is listed on the LSE in the interest of protecting investors. In particular, the CSSF may oppose a delisting of a Luxembourg company (even if the company no longer has a relevant free float) if minority shareholders did not have the opportunity to sell their shares at a fair price.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