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Global Privilege and Professional Secrecy Guide - Indonesia</w:t>
      </w:r>
      <w:r w:rsidR="00480329"/>
    </w:p>
    <w:p w:rsidRPr="00BC7873" w:rsidR="00BC7873" w:rsidP="00D354EF" w:rsidRDefault="00051AB4" w14:paraId="2476CC56" w14:textId="2FB25FA9">
      <w:pPr>
        <w:pStyle w:val="Title"/>
      </w:pPr>
      <w:r w:rsidRPr="00BC7873">
        <w:t>02 - Type of privilege</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Does the jurisdiction recognize the concept of privilege or another form of protection from disclosure of legal communications and documents prepared by or for lawyers?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The concept of attorney-client privilege is recognized in Indonesia. The basic rule is that advocates are obliged to keep confidential anything known to them or obtained from the client because of their professional relationship, unless stipulated otherwise by law.</w:t>
              </w:r>
            </w:p>
            <w:p>
              <w:pPr>
                <w:pStyle w:val="BodyText"/>
              </w:pPr>
              <w:r>
                <w:t xml:space="preserve">Further, advocates are entitled to a right of confidentiality in respect of any information that they obtain from their clients. Authorities cannot seize or inspect advocates' client-related documents and files. Wiretapping of advocates' electronic communications with clients is also prohibited.</w:t>
              </w:r>
            </w:p>
          </w:sdtContent>
        </w:sdt>
      </w:sdtContent>
    </w:sdt>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 </w:t>
      </w:r>
      <w:r>
        <w:rPr>
          <w:b/>
        </w:rPr>
        <w:t xml:space="preserve">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of reasonable portions of the Content is permitted provided that (i) such reproductions are made available free of charge and for non-commercial purposes, (ii) such reproductions are properly attributed to Baker McKenzie, (iii) the portion of the Content being reproduced is not altered or made available in a manner that modifies the Content or presents the Content being reproduced in a false light and (iv) notice is made to the disclaimers included on the Content. The permission to re-copy does not allow for incorporation of any substantial portion of the Content in any work or publication, whether in hard copy, electronic or any other form or for commercial purposes.</w:t>
      </w:r>
    </w:p>
    <w:p>
      <w:pPr>
        <w:pStyle w:val="Disclaimer"/>
      </w:pPr>
      <w:r>
        <w:t xml:space="preserve">© 2026 Baker McKenzie. All rights reserved.</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https://resourcehub.bakermckenzie.com/en/resources/global-attorney-client-privilege-guide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ascii="Calibri" w:eastAsiaTheme="minorHAnsi" w:hAnsi="Calibri" w:cs="Calibri"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ascii="Arial" w:eastAsiaTheme="minorHAnsi" w:hAnsi="Arial" w:cs="Aria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