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Enforcement Center - England &amp; Wales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Judgments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With which jurisdictions does this country have reciprocal arrangements for enforcement of judgments?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u w:val="single"/>
                    </w:rPr>
                    <w:t xml:space="preserve">Conventions</w:t>
                  </w:r>
                  <w:r>
                    <w:rPr>
                      <w:b/>
                    </w:rPr>
                    <w:t xml:space="preserve">:</w:t>
                  </w:r>
                </w:p>
                <w:p>
                  <w:pPr>
                    <w:pStyle w:val="BodyText"/>
                  </w:pPr>
                  <w:r>
                    <w:rPr>
                      <w:b/>
                    </w:rPr>
                    <w:t xml:space="preserve">Hague Choice of Court Convention 2005:</w:t>
                  </w:r>
                  <w:r>
                    <w:br/>
                  </w:r>
                  <w:r>
                    <w:t xml:space="preserve">Austria, Belgium, Bulgaria, Croatia, Cyprus, Czech Republic, Denmark, Estonia, Finland, France, Germany, Greece, Hungary, Ireland, Italy, Latvia, Lithuania, Luxembourg, Malta, Mexico, Montenegro, Netherlands, Poland, Portugal, Romania, Singapore, Slovakia, Slovenia, Spain, Sweden</w:t>
                  </w:r>
                </w:p>
                <w:p>
                  <w:pPr>
                    <w:pStyle w:val="BodyText"/>
                  </w:pPr>
                  <w:r>
                    <w:rPr>
                      <w:b/>
                    </w:rPr>
                    <w:t xml:space="preserve">Agreement on the Continued Application and Amendment of the Convention Providing for the Reciprocal Recognition and Enforcement of Judgments in Civil Matters</w:t>
                  </w:r>
                  <w:hyperlink w:history="true" r:id="R869fa06ff5644c07">
                    <w:r>
                      <w:rPr>
                        <w:rStyle w:val="Hyperlink"/>
                        <w:b/>
                        <w:vertAlign w:val="superscript"/>
                      </w:rPr>
                      <w:t xml:space="preserve">1</w:t>
                    </w:r>
                  </w:hyperlink>
                  <w:r>
                    <w:rPr>
                      <w:b/>
                    </w:rPr>
                    <w:t xml:space="preserve">:</w:t>
                  </w:r>
                  <w:r>
                    <w:t xml:space="preserve"> Norway</w:t>
                  </w:r>
                </w:p>
                <w:p>
                  <w:pPr>
                    <w:pStyle w:val="BodyText"/>
                  </w:pPr>
                  <w:r>
                    <w:rPr>
                      <w:b/>
                      <w:u w:val="single"/>
                    </w:rPr>
                    <w:t xml:space="preserve">Bilateral</w:t>
                  </w:r>
                  <w:r>
                    <w:rPr>
                      <w:b/>
                    </w:rPr>
                    <w:t xml:space="preserve">:</w:t>
                  </w:r>
                </w:p>
                <w:p>
                  <w:pPr>
                    <w:pStyle w:val="BodyText"/>
                  </w:pPr>
                  <w:r>
                    <w:rPr>
                      <w:b/>
                    </w:rPr>
                    <w:t xml:space="preserve">Administration of Justice Act 1920:</w:t>
                  </w:r>
                  <w:r>
                    <w:br/>
                  </w:r>
                  <w:r>
                    <w:t xml:space="preserve">Anguilla, Antigua and Barbuda, Bahamas, Barbados, Belize, Bermuda, Botswana, British Indian Ocean Territory, British Virgin Islands, Cayman Islands, Christmas Island, Cocos (Keeling) Islands, Dominica, Falkland Islands, Fiji, Gambia, Ghana, Grenada, Guyana, Jamaica, Kenya, Kiribati, Lesotho, Malawi, Malaysia, Mauritius, Montserrat, New Zealand, Nigeria, Norfolk Island, Papua New Guinea, St Christopher and Nevis, St Helena, St Lucia, St Vincent and the Grenadines, Seychelles, Sierra Leone, Singapore, Solomon Islands, Sovereign Base Areas of Akrotin and Dhekelia in Cyprus, Sri Lanka, Swaziland, Tanzania, Trinidad and Tobago, Turks and Caicos Islands, Tuvalu, Uganda, Zambia, Zimbabwe</w:t>
                  </w:r>
                </w:p>
                <w:p>
                  <w:pPr>
                    <w:pStyle w:val="BodyText"/>
                  </w:pPr>
                  <w:r>
                    <w:rPr>
                      <w:b/>
                    </w:rPr>
                    <w:t xml:space="preserve">Civil Jurisdiction and Judgments Act 1982:</w:t>
                  </w:r>
                  <w:r>
                    <w:t xml:space="preserve"> Northern Ireland, Scotland</w:t>
                  </w:r>
                </w:p>
                <w:p>
                  <w:pPr>
                    <w:pStyle w:val="BodyText"/>
                  </w:pPr>
                  <w:r>
                    <w:rPr>
                      <w:b/>
                    </w:rPr>
                    <w:t xml:space="preserve">Foreign Judgments (Reciprocal Enforcement) Act 1933:</w:t>
                  </w:r>
                  <w:r>
                    <w:br/>
                  </w:r>
                  <w:r>
                    <w:t xml:space="preserve">Australia, Canada, Guernsey, India, Isle of Man, Israel, Jersey, Pakistan, Suriname, Tonga</w:t>
                  </w:r>
                </w:p>
                <w:p>
                  <w:pPr>
                    <w:pStyle w:val="BodyText"/>
                  </w:pPr>
                  <w:r>
                    <w:t xml:space="preserve"> </w:t>
                  </w:r>
                </w:p>
                <w:p>
                  <w:pPr>
                    <w:pStyle w:val="BodyText"/>
                  </w:pPr>
                  <w:pPr>
                    <w:pBdr>
                      <w:top w:val="single" w:sz="4"/>
                    </w:pBdr>
                  </w:pPr>
                  <w:r/>
                </w:p>
                <w:p>
                  <w:pPr>
                    <w:pStyle w:val="BodyText"/>
                  </w:pPr>
                  <w:hyperlink w:history="true" r:id="R81070b53543b43b4">
                    <w:r>
                      <w:rPr>
                        <w:rStyle w:val="Hyperlink"/>
                        <w:sz w:val="14"/>
                      </w:rPr>
                      <w:t xml:space="preserve">1</w:t>
                    </w:r>
                  </w:hyperlink>
                  <w:r>
                    <w:rPr>
                      <w:sz w:val="14"/>
                    </w:rPr>
                    <w:t xml:space="preserve"> Originally signed in London on 12 June 1961, reaffirmed in November 2020.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there is no reciprocal arrangement, is it still possible to enforce a foreign judgment by means of a writ on the judgment, declaration of enforceability or similar mechanism?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2 – 3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3 – 6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20,000 - 50,000+ (depending on the complexity of the enforcement steps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50,000 - 150,000+ (depending on the complexity of the enforcement steps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judgment?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Recognition is usually granted </w:t>
                  </w:r>
                  <w:r>
                    <w:rPr>
                      <w:i/>
                    </w:rPr>
                    <w:t xml:space="preserve">ex parte</w:t>
                  </w:r>
                  <w:r>
                    <w:t xml:space="preserve">. The other party then has 1 month from service to apply to set aside registration (2 months if the other party is outside the UK).</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Arbitration Awards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this jurisdiction a party to the New York Convention?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1 – 2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3 - 6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20,000 – 50,000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50,000 - 150,000.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Recognition is usually granted ex parte. The other party then has 14 days from service to apply to set aside registration (sometimes longer if the other party is outside the UK).</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Limitation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law governs the limitation period for registering a foreign judgment or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Place of enforcement.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judgment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6 years for enforcement by action on the writ. In respect of enforcement of judgments from jurisdictions under the Administration of Justice Act 1920 (for a list, see above), an application for registration must be made within 12 months of the foreign judgment, although this can be extended. As to those from jurisdictions under the Foreign Judgments (Reciprocal Enforcement) Act 1933 (for a list, see above), the limitation period is 6 years. It should be noted that it is unclear whether a judgment could be enforced in England if it would no longer be enforceable in the country of origin.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arbitration award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6 years.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fees and costs of enforcement typically recoverable?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seizure of goods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earnings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third party debts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charging orders or orders for sale of land, goods etc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judgment or award be enforced by way of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receiver be appointed by way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can be contacted to enforce a judgment or arbitration award in this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Steve Abraham, Ed Poulton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papers will be needed?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Copy of the judgment/award. This may need to be certified.</w:t>
                  </w:r>
                </w:p>
                <w:p>
                  <w:pPr>
                    <w:pStyle w:val="BodyText"/>
                  </w:pPr>
                  <w:r>
                    <w:t xml:space="preserve">Copy of any document referred to in the judgment/award.</w:t>
                  </w:r>
                </w:p>
                <w:p>
                  <w:pPr>
                    <w:pStyle w:val="BodyText"/>
                  </w:pPr>
                  <w:r>
                    <w:t xml:space="preserve">Evidence showing that the judgment/award is enforceable in its forum of origin and has been served. For example, the exclusive choice of court agreement.</w:t>
                  </w:r>
                </w:p>
                <w:p>
                  <w:pPr>
                    <w:pStyle w:val="BodyText"/>
                  </w:pPr>
                  <w:r>
                    <w:t xml:space="preserve">In the case of default judgments, evidence that the original proceedings were served.</w:t>
                  </w:r>
                </w:p>
                <w:p>
                  <w:pPr>
                    <w:pStyle w:val="BodyText"/>
                  </w:pPr>
                  <w:r>
                    <w:t xml:space="preserve">Translations of the above if not in English (preferably certified by a notary).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Rating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judgments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Easy.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arbitration awards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Easy.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Reciprocal Enforcement Maps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Reciprocal Enforcement Maps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4B82DC"/>
                      <w:sz w:val="24"/>
                    </w:rPr>
                    <w:t xml:space="preserve">EMEA</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Click the link below to access the reciprocal maps for England &amp; Wales.</w:t>
                  </w:r>
                </w:p>
                <w:p>
                  <w:pPr>
                    <w:pStyle w:val="BodyText"/>
                  </w:pPr>
                  <w:hyperlink w:history="true" r:id="R30b07e2705bd4b73">
                    <w:r>
                      <w:rPr>
                        <w:rStyle w:val="Hyperlink"/>
                      </w:rPr>
                      <w:t xml:space="preserve">Reciprocal Enforcement Map</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enforcement-center/files/emea/englandwales.pdf?sc_lang=en" TargetMode="External" Id="R30b07e2705bd4b73" /><Relationship Type="http://schemas.openxmlformats.org/officeDocument/2006/relationships/hyperlink" Target="https://resourcehub.bakermckenzie.com/en#ENG-A_ftn1" TargetMode="External" Id="R869fa06ff5644c07" /><Relationship Type="http://schemas.openxmlformats.org/officeDocument/2006/relationships/hyperlink" Target="https://resourcehub.bakermckenzie.com/en#ENG-A_refftn1" TargetMode="External" Id="R81070b53543b43b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