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People’s Republic of China</w:t>
      </w:r>
      <w:r w:rsidR="00480329"/>
    </w:p>
    <w:p w:rsidRPr="00BC7873" w:rsidR="00BC7873" w:rsidP="00D354EF" w:rsidRDefault="00051AB4" w14:paraId="2476CC56" w14:textId="2FB25FA9">
      <w:pPr>
        <w:pStyle w:val="Title"/>
      </w:pPr>
      <w:r w:rsidRPr="00BC7873">
        <w:t>Overview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Overview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In the PRC, public takeovers are quite frequent. A purchaser can acquire the equity of a public company by way of a voluntary or mandatory tender offer, a direct or indirect acquisition by agreement, on the primary market, or on a secondary market such as the Shanghai </w:t>
              </w:r>
              <w:r>
                <w:t xml:space="preserve">S</w:t>
              </w:r>
              <w:r>
                <w:t xml:space="preserve">tock </w:t>
              </w:r>
              <w:r>
                <w:t xml:space="preserve">E</w:t>
              </w:r>
              <w:r>
                <w:t xml:space="preserve">xchange or the Shenzhen </w:t>
              </w:r>
              <w:r>
                <w:t xml:space="preserve">S</w:t>
              </w:r>
              <w:r>
                <w:t xml:space="preserve">tock </w:t>
              </w:r>
              <w:r>
                <w:t xml:space="preserve">E</w:t>
              </w:r>
              <w:r>
                <w:t xml:space="preserve">xchange. The PRC regulates public takeovers under the laws and regulations described in 2 below. Since takeover by way of a tender offer has more requirements in terms of procedures and disclosure, the following focuses on this type of takeover.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