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France</w:t>
      </w:r>
      <w:r w:rsidR="00480329"/>
    </w:p>
    <w:p w:rsidRPr="00BC7873" w:rsidR="00BC7873" w:rsidP="00D354EF" w:rsidRDefault="00051AB4" w14:paraId="2476CC56" w14:textId="2FB25FA9">
      <w:pPr>
        <w:pStyle w:val="Title"/>
      </w:pPr>
      <w:r w:rsidRPr="00BC7873">
        <w:t>Regulators, Enforcement Priorities and Penalties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are the main data privacy, non-personal data and/or cybersecurity regulator(s) in the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The </w:t>
              </w:r>
              <w:hyperlink w:history="true" r:id="R97d5ffca1c084672">
                <w:r>
                  <w:rPr>
                    <w:rStyle w:val="Hyperlink"/>
                  </w:rPr>
                  <w:t xml:space="preserve">French Data Protection Authority</w:t>
                </w:r>
              </w:hyperlink>
              <w:r>
                <w:t xml:space="preserve"> (</w:t>
              </w:r>
              <w:r>
                <w:rPr>
                  <w:i/>
                </w:rPr>
                <w:t xml:space="preserve">Commission nationale de l'informatique et des libertés</w:t>
              </w:r>
              <w:r>
                <w:t xml:space="preserve">, "</w:t>
              </w:r>
              <w:r>
                <w:rPr>
                  <w:b/>
                </w:rPr>
                <w:t xml:space="preserve">CNIL</w:t>
              </w:r>
              <w:r>
                <w:t xml:space="preserve">") is an independent French administrative regulatory body whose mission is to ensure that data privacy law is applied to the collection, storage, and use of personal data. Under the SREN Law, the CNIL is also competent for “data altruism”.</w:t>
              </w:r>
            </w:p>
            <w:p>
              <w:pPr>
                <w:pStyle w:val="BodyText"/>
              </w:pPr>
              <w:r>
                <w:t xml:space="preserve">In regards with non-personal data, the SREN Law has designated the French regulatory authority for electronic communications, post and press distribution (the "</w:t>
              </w:r>
              <w:r>
                <w:rPr>
                  <w:b/>
                </w:rPr>
                <w:t xml:space="preserve">ARCEP</w:t>
              </w:r>
              <w:r>
                <w:t xml:space="preserve">") as the regulator in charge of "data intermediaries" under the Data Governance Act.</w:t>
              </w:r>
            </w:p>
            <w:p>
              <w:pPr>
                <w:pStyle w:val="BodyText"/>
              </w:pPr>
              <w:r>
                <w:t xml:space="preserve">Also, the National Agency for the Security of Information Systems ("</w:t>
              </w:r>
              <w:hyperlink w:history="true" r:id="R5ae40834057b473b">
                <w:r>
                  <w:rPr>
                    <w:rStyle w:val="Hyperlink"/>
                    <w:b/>
                  </w:rPr>
                  <w:t xml:space="preserve">ANSSI</w:t>
                </w:r>
              </w:hyperlink>
              <w:r>
                <w:t xml:space="preserve">") is the national authority responsible for supporting and securing the development of digital technology. As such, ANSSI plays a major role in cybersecurity, and provides services for monitoring, detecting, alerting, and reacting to computer attacks and ensuring the security of citizens' data.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active is each of the regulator(s)?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CNIL : ☒ Very active</w:t>
              </w:r>
            </w:p>
            <w:p>
              <w:pPr>
                <w:pStyle w:val="BodyText"/>
              </w:pPr>
              <w:r>
                <w:t xml:space="preserve">ANSSI :</w:t>
              </w:r>
              <w:r>
                <w:t xml:space="preserve"> </w:t>
              </w:r>
              <w:r>
                <w:t xml:space="preserve">☒</w:t>
              </w:r>
              <w:r>
                <w:t xml:space="preserve"> Moderately active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each of the regulator's anticipated enforcement priorities for the next 12 months?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 The CNIL has published its annual control plan for 2024 focusing on four main topics, available </w:t>
              </w:r>
              <w:hyperlink w:history="true" r:id="Rda1fa624bcf24dc4">
                <w:r>
                  <w:rPr>
                    <w:rStyle w:val="Hyperlink"/>
                  </w:rPr>
                  <w:t xml:space="preserve">here</w:t>
                </w:r>
              </w:hyperlink>
              <w:r>
                <w:t xml:space="preserve">:</w:t>
              </w:r>
            </w:p>
            <w:p>
              <w:pPr>
                <w:pStyle w:val="BodyText"/>
              </w:pPr>
              <w:pPr>
                <w:pStyle w:val="ListParagraph"/>
                <w:numPr>
                  <w:ilvl w:val="0"/>
                  <w:numId w:val="12"/>
                </w:numPr>
              </w:pPr>
              <w:r>
                <w:rPr>
                  <w:b/>
                </w:rPr>
                <w:t xml:space="preserve">Data collection for the Olympic and Paralympic Games</w:t>
              </w:r>
              <w:r>
                <w:t xml:space="preserve"> : in the context of this international sports competition, the CNIL was mobilized before and during the games to ensure that data subjects' privacy was respected. </w:t>
              </w:r>
            </w:p>
            <w:p>
              <w:pPr>
                <w:pStyle w:val="BodyText"/>
              </w:pPr>
              <w:pPr>
                <w:pStyle w:val="ListParagraph"/>
                <w:numPr>
                  <w:ilvl w:val="0"/>
                  <w:numId w:val="12"/>
                </w:numPr>
              </w:pPr>
              <w:r>
                <w:rPr>
                  <w:b/>
                </w:rPr>
                <w:t xml:space="preserve">Minors' data collected online</w:t>
              </w:r>
              <w:r>
                <w:t xml:space="preserve"> : the CNIL mainly focused on checking whether websites and applications popular among minors are compliant with the obligation to verify the age online. </w:t>
              </w:r>
            </w:p>
            <w:p>
              <w:pPr>
                <w:pStyle w:val="BodyText"/>
              </w:pPr>
              <w:pPr>
                <w:pStyle w:val="ListParagraph"/>
                <w:numPr>
                  <w:ilvl w:val="0"/>
                  <w:numId w:val="12"/>
                </w:numPr>
              </w:pPr>
              <w:r>
                <w:rPr>
                  <w:b/>
                </w:rPr>
                <w:t xml:space="preserve">Loyalty programs and dematerialized receipts :</w:t>
              </w:r>
              <w:r>
                <w:t xml:space="preserve"> the focus was on loyalty programs by offered to customers by supermarkets, and more importantly since the dematerialization of sales receipts (instituted by Law No. 2020-105 of February 10, 2020 on the fight against waste and the circular economy – link </w:t>
              </w:r>
              <w:hyperlink w:history="true" r:id="R48be5679817e4dd1">
                <w:r>
                  <w:rPr>
                    <w:rStyle w:val="Hyperlink"/>
                  </w:rPr>
                  <w:t xml:space="preserve">here</w:t>
                </w:r>
              </w:hyperlink>
              <w:r>
                <w:t xml:space="preserve">). </w:t>
              </w:r>
            </w:p>
            <w:p>
              <w:pPr>
                <w:pStyle w:val="BodyText"/>
              </w:pPr>
              <w:pPr>
                <w:jc w:val="both"/>
              </w:pPr>
              <w:r>
                <w:t xml:space="preserve">The CNIL should release its annual control plan for 2025 in spring 2025.</w:t>
              </w:r>
            </w:p>
            <w:p>
              <w:pPr>
                <w:pStyle w:val="BodyText"/>
              </w:pPr>
              <w:pPr>
                <w:jc w:val="both"/>
              </w:pPr>
              <w:r>
                <w:t xml:space="preserve">Please note that, based on the available resources published as of December 2024, 75 % of CNIL's inspections flow from complaints and/or data breaches notifications. As a result, CNIL's annual control plan benefits only from 25% of its available resources.</w:t>
              </w:r>
            </w:p>
            <w:p>
              <w:pPr>
                <w:pStyle w:val="BodyText"/>
              </w:pPr>
              <w:r>
                <w:t xml:space="preserve">The CNIL has also published its strategic plan for 2022/2024 focusing on three priority axes, available </w:t>
              </w:r>
              <w:hyperlink w:history="true" r:id="R97d93b34f6024a44">
                <w:r>
                  <w:rPr>
                    <w:rStyle w:val="Hyperlink"/>
                  </w:rPr>
                  <w:t xml:space="preserve">here</w:t>
                </w:r>
              </w:hyperlink>
              <w:r>
                <w:t xml:space="preserve">:</w:t>
              </w:r>
            </w:p>
            <w:p>
              <w:pPr>
                <w:pStyle w:val="BodyText"/>
              </w:pPr>
              <w:pPr>
                <w:pStyle w:val="ListParagraph"/>
                <w:numPr>
                  <w:ilvl w:val="0"/>
                  <w:numId w:val="13"/>
                </w:numPr>
              </w:pPr>
              <w:r>
                <w:t xml:space="preserve">Promoting the control and respect of data subjects' rights;</w:t>
              </w:r>
            </w:p>
            <w:p>
              <w:pPr>
                <w:pStyle w:val="BodyText"/>
              </w:pPr>
              <w:pPr>
                <w:pStyle w:val="ListParagraph"/>
                <w:numPr>
                  <w:ilvl w:val="0"/>
                  <w:numId w:val="13"/>
                </w:numPr>
              </w:pPr>
              <w:r>
                <w:t xml:space="preserve">Promoting the GDPR as a trusted asset for organizations; </w:t>
              </w:r>
            </w:p>
            <w:p>
              <w:pPr>
                <w:pStyle w:val="BodyText"/>
              </w:pPr>
              <w:pPr>
                <w:jc w:val="both"/>
              </w:pPr>
              <w:r>
                <w:t xml:space="preserve">Prioritizing targeted regulatory actions on topics with high privacy stakes such as (1) augmented cameras and their uses on the basis of the CNIL's upcoming guidelines on "</w:t>
              </w:r>
              <w:r>
                <w:rPr>
                  <w:i/>
                </w:rPr>
                <w:t xml:space="preserve">smart or augmented cameras in public spaces"</w:t>
              </w:r>
              <w:r>
                <w:t xml:space="preserve">, (2) data transfers as part of cloud computing and (3) collection of personal data by smartphones' applications.</w:t>
              </w:r>
            </w:p>
            <w:p>
              <w:pPr>
                <w:pStyle w:val="BodyText"/>
              </w:pPr>
              <w:r>
                <w:t xml:space="preserve">The Digital Innovation Lab of the CNIL ("</w:t>
              </w:r>
              <w:r>
                <w:rPr>
                  <w:b/>
                </w:rPr>
                <w:t xml:space="preserve">LINC</w:t>
              </w:r>
              <w:r>
                <w:t xml:space="preserve">") has published its research strategy plan for 2022/2023 focusing on four main subjects:</w:t>
              </w:r>
            </w:p>
            <w:p>
              <w:pPr>
                <w:pStyle w:val="BodyText"/>
              </w:pPr>
              <w:pPr>
                <w:pStyle w:val="ListParagraph"/>
                <w:numPr>
                  <w:ilvl w:val="0"/>
                  <w:numId w:val="14"/>
                </w:numPr>
              </w:pPr>
              <w:r>
                <w:t xml:space="preserve">The impact of data protection on the protection of the environment</w:t>
              </w:r>
            </w:p>
            <w:p>
              <w:pPr>
                <w:pStyle w:val="BodyText"/>
              </w:pPr>
              <w:pPr>
                <w:pStyle w:val="ListParagraph"/>
                <w:numPr>
                  <w:ilvl w:val="0"/>
                  <w:numId w:val="14"/>
                </w:numPr>
              </w:pPr>
              <w:r>
                <w:t xml:space="preserve">The new economies of data (in particular the topic of data brokers)</w:t>
              </w:r>
            </w:p>
            <w:p>
              <w:pPr>
                <w:pStyle w:val="BodyText"/>
              </w:pPr>
              <w:pPr>
                <w:pStyle w:val="ListParagraph"/>
                <w:numPr>
                  <w:ilvl w:val="0"/>
                  <w:numId w:val="14"/>
                </w:numPr>
              </w:pPr>
              <w:r>
                <w:t xml:space="preserve">The practices and perceptions of the data subjects regarding the means available to protect their privacy and the exercise of their rights </w:t>
              </w:r>
            </w:p>
            <w:p>
              <w:pPr>
                <w:pStyle w:val="BodyText"/>
              </w:pPr>
              <w:pPr>
                <w:pStyle w:val="ListParagraph"/>
                <w:numPr>
                  <w:ilvl w:val="0"/>
                  <w:numId w:val="14"/>
                </w:numPr>
              </w:pPr>
              <w:r>
                <w:t xml:space="preserve">Capturing data</w:t>
              </w:r>
            </w:p>
            <w:p>
              <w:pPr>
                <w:pStyle w:val="BodyText"/>
              </w:pPr>
              <w:pPr>
                <w:ind w:left="59"/>
              </w:pPr>
              <w:r>
                <w:t xml:space="preserve">The LINC has not published a new strategic plan for 2024.</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trends are you seeing in regulatory investigations relating to data &amp; cyber?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Regulatory investigations or direct enforcement activity by data or cyber regulators are:</w:t>
              </w:r>
            </w:p>
            <w:p>
              <w:pPr>
                <w:pStyle w:val="BodyText"/>
              </w:pPr>
              <w:pPr>
                <w:ind w:left="705"/>
              </w:pPr>
              <w:r>
                <w:t xml:space="preserve">☒</w:t>
              </w:r>
              <w:r>
                <w:t xml:space="preserve">         Staying the same</w:t>
              </w:r>
            </w:p>
            <w:p>
              <w:pPr>
                <w:pStyle w:val="BodyText"/>
              </w:pPr>
              <w:r>
                <w:t xml:space="preserve">Class actions/group actions under data or cyber regulation are:</w:t>
              </w:r>
            </w:p>
            <w:p>
              <w:pPr>
                <w:pStyle w:val="BodyText"/>
              </w:pPr>
              <w:pPr>
                <w:ind w:left="705"/>
              </w:pPr>
              <w:r>
                <w:t xml:space="preserve">☒</w:t>
              </w:r>
              <w:r>
                <w:t xml:space="preserve">         Rare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potential penalties/remedies for non-compliance with the key data and cybersecurity laws in the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There are:</w:t>
              </w:r>
            </w:p>
            <w:p>
              <w:pPr>
                <w:pStyle w:val="BodyText"/>
              </w:pPr>
              <w:r>
                <w:t xml:space="preserve">☒        administrative remedies / civil penalties applied by regulators and law enforcement</w:t>
              </w:r>
            </w:p>
            <w:p>
              <w:pPr>
                <w:pStyle w:val="BodyText"/>
              </w:pPr>
              <w:pPr>
                <w:jc w:val="both"/>
              </w:pPr>
              <w:r>
                <w:t xml:space="preserve">Unless the data controller is the State, the CNIL may impose the following administrative fines:</w:t>
              </w:r>
            </w:p>
            <w:p>
              <w:pPr>
                <w:pStyle w:val="BodyText"/>
              </w:pPr>
              <w:pPr>
                <w:pStyle w:val="ListParagraph"/>
                <w:numPr>
                  <w:ilvl w:val="0"/>
                  <w:numId w:val="9"/>
                </w:numPr>
              </w:pPr>
              <w:r>
                <w:t xml:space="preserve">In an amount of up to EUR 10 million or 2% of the total worldwide annual turnover of the preceding financial year, whichever is higher. </w:t>
              </w:r>
            </w:p>
            <w:p>
              <w:pPr>
                <w:pStyle w:val="BodyText"/>
              </w:pPr>
              <w:pPr>
                <w:pStyle w:val="ListParagraph"/>
                <w:numPr>
                  <w:ilvl w:val="0"/>
                  <w:numId w:val="9"/>
                </w:numPr>
              </w:pPr>
              <w:r>
                <w:t xml:space="preserve">In the cases referred to in Article 83(5) and (6) GDPR, in an amount of up to EUR 20 million or 4% of the total worldwide annual turnover of the preceding financial year, whichever is higher.</w:t>
              </w:r>
            </w:p>
            <w:p>
              <w:pPr>
                <w:pStyle w:val="BodyText"/>
              </w:pPr>
              <w:pPr>
                <w:pStyle w:val="ListParagraph"/>
                <w:numPr>
                  <w:ilvl w:val="0"/>
                  <w:numId w:val="9"/>
                </w:numPr>
              </w:pPr>
              <w:r>
                <w:t xml:space="preserve">In the case where the sanction proceeding is simplified (i.e., subject to article 22-1 of the Data Protection Act ), the amount is up to EUR 20,000</w:t>
              </w:r>
            </w:p>
            <w:p>
              <w:pPr>
                <w:pStyle w:val="BodyText"/>
              </w:pPr>
              <w:r>
                <w:t xml:space="preserve">☒        criminal penalties from regulators and law enforcement</w:t>
              </w:r>
            </w:p>
            <w:p>
              <w:pPr>
                <w:pStyle w:val="BodyText"/>
              </w:pPr>
              <w:pPr>
                <w:pStyle w:val="ListParagraph"/>
                <w:numPr>
                  <w:ilvl w:val="0"/>
                  <w:numId w:val="10"/>
                </w:numPr>
              </w:pPr>
              <w:r>
                <w:t xml:space="preserve">Pursuant to article 40 of the Data Protection Act, some offenses against Data Protection Act provisions are provided for and punished by articles 226-16 to 226-24 of the Criminal Code. The fines described below for alleged breaches of articles 226-16 to 226-24 of the French Penal Code are multiplied by 5 ("amende au quintuple") under article 131-8 of the same Code if the perpetrator is a legal entity.</w:t>
              </w:r>
            </w:p>
            <w:p>
              <w:pPr>
                <w:pStyle w:val="BodyText"/>
              </w:pPr>
              <w:r>
                <w:t xml:space="preserve">They include:</w:t>
              </w:r>
            </w:p>
            <w:p>
              <w:pPr>
                <w:pStyle w:val="BodyText"/>
              </w:pPr>
              <w:pPr>
                <w:pStyle w:val="ListParagraph"/>
                <w:numPr>
                  <w:ilvl w:val="0"/>
                  <w:numId w:val="10"/>
                </w:numPr>
              </w:pPr>
              <w:r>
                <w:t xml:space="preserve">Processing personal data, including through negligence, or having it processed by a third party without compliance with formalities to take prior to their implementation, as provided for by law, is punishable by five years' imprisonment and a fine of EUR 300,000.</w:t>
              </w:r>
            </w:p>
            <w:p>
              <w:pPr>
                <w:pStyle w:val="BodyText"/>
              </w:pPr>
              <w:pPr>
                <w:pStyle w:val="ListParagraph"/>
                <w:numPr>
                  <w:ilvl w:val="0"/>
                  <w:numId w:val="10"/>
                </w:numPr>
              </w:pPr>
              <w:r>
                <w:t xml:space="preserve">Processing personal data including information about the registration numbers of individuals in the national register of identification of natural persons, without authorization, is punishable by five years' imprisonment and a fine of EUR 300,000.</w:t>
              </w:r>
            </w:p>
            <w:p>
              <w:pPr>
                <w:pStyle w:val="BodyText"/>
              </w:pPr>
              <w:pPr>
                <w:pStyle w:val="ListParagraph"/>
                <w:numPr>
                  <w:ilvl w:val="0"/>
                  <w:numId w:val="10"/>
                </w:numPr>
              </w:pPr>
              <w:r>
                <w:t xml:space="preserve">Processing personal data or having it processed without implementing measures prescribed in articles 24, 25, 30 and 32 of the GDPR (i.e., responsibility of the controller, data protection by design and by default, records of processing activities, security of processing) is punishable by five years' imprisonment and a fine of EUR 300,000.</w:t>
              </w:r>
            </w:p>
            <w:p>
              <w:pPr>
                <w:pStyle w:val="BodyText"/>
              </w:pPr>
              <w:pPr>
                <w:pStyle w:val="ListParagraph"/>
                <w:numPr>
                  <w:ilvl w:val="0"/>
                  <w:numId w:val="10"/>
                </w:numPr>
              </w:pPr>
              <w:r>
                <w:t xml:space="preserve">Failure by an electronic communications service provider or controller or processor to notify a breach of personal data to the CNIL, or the data subject (or the controller in the situation of a processor) is punishable by five years' imprisonment and a fine of EUR 300,000.</w:t>
              </w:r>
            </w:p>
            <w:p>
              <w:pPr>
                <w:pStyle w:val="BodyText"/>
              </w:pPr>
              <w:pPr>
                <w:pStyle w:val="ListParagraph"/>
                <w:numPr>
                  <w:ilvl w:val="0"/>
                  <w:numId w:val="10"/>
                </w:numPr>
              </w:pPr>
              <w:r>
                <w:t xml:space="preserve">Collecting personal data by fraudulent, unfair, or unlawful means is punishable by five years' imprisonment and a fine of EUR 300,000.</w:t>
              </w:r>
            </w:p>
            <w:p>
              <w:pPr>
                <w:pStyle w:val="BodyText"/>
              </w:pPr>
              <w:pPr>
                <w:pStyle w:val="ListParagraph"/>
                <w:numPr>
                  <w:ilvl w:val="0"/>
                  <w:numId w:val="10"/>
                </w:numPr>
              </w:pPr>
              <w:r>
                <w:t xml:space="preserve">Processing personal data concerning a natural person despite that person's opposition, where such processing is for the purpose of prospecting, in particular for commercial purposes, or where such opposition is based on legitimate grounds, is punishable by five years' imprisonment and a fine of EUR 300,000.</w:t>
              </w:r>
            </w:p>
            <w:p>
              <w:pPr>
                <w:pStyle w:val="BodyText"/>
              </w:pPr>
              <w:pPr>
                <w:pStyle w:val="ListParagraph"/>
                <w:numPr>
                  <w:ilvl w:val="0"/>
                  <w:numId w:val="10"/>
                </w:numPr>
              </w:pPr>
              <w:r>
                <w:t xml:space="preserve">Data retention (except in cases provided for by law), without the express consent of the data subject, of sensitive personal data is punishable by five years' imprisonment and a fine of EUR 300,000. The same penalties apply to non-automated processing of personal data, which implementation is not limited to the exercise of exclusively personal activities.</w:t>
              </w:r>
            </w:p>
            <w:p>
              <w:pPr>
                <w:pStyle w:val="BodyText"/>
              </w:pPr>
              <w:pPr>
                <w:pStyle w:val="ListParagraph"/>
                <w:numPr>
                  <w:ilvl w:val="0"/>
                  <w:numId w:val="10"/>
                </w:numPr>
              </w:pPr>
              <w:r>
                <w:t xml:space="preserve">Processing personal data for the purpose of health research is punishable by five years' imprisonment and a fine of EUR 300,000: when no information has been provided to the data subject about transfers, right of access, rectification and opposition, the nature of the data transmitted and the recipients of such data; when notwithstanding the opposition of the data subject or, where provided by law, in the absence of the person's informed and express consent, or in the case of a deceased person, notwithstanding the refusal expressed by the latter during their lifetime.</w:t>
              </w:r>
            </w:p>
            <w:p>
              <w:pPr>
                <w:pStyle w:val="BodyText"/>
              </w:pPr>
              <w:pPr>
                <w:pStyle w:val="ListParagraph"/>
                <w:numPr>
                  <w:ilvl w:val="0"/>
                  <w:numId w:val="10"/>
                </w:numPr>
              </w:pPr>
              <w:r>
                <w:t xml:space="preserve">Retaining personal data beyond the period provided for by law or regulation is punishable by five years' imprisonment and a fine of EUR 300,000, unless such retention is carried out for historical, statistical, or scientific purposes under the conditions provided for by law.</w:t>
              </w:r>
            </w:p>
            <w:p>
              <w:pPr>
                <w:pStyle w:val="BodyText"/>
              </w:pPr>
              <w:pPr>
                <w:pStyle w:val="ListParagraph"/>
                <w:numPr>
                  <w:ilvl w:val="0"/>
                  <w:numId w:val="10"/>
                </w:numPr>
              </w:pPr>
              <w:r>
                <w:t xml:space="preserve">Misuse of defined purposes is punishable by five years' imprisonment and a fine of EUR 300,000.</w:t>
              </w:r>
            </w:p>
            <w:p>
              <w:pPr>
                <w:pStyle w:val="BodyText"/>
              </w:pPr>
              <w:pPr>
                <w:pStyle w:val="ListParagraph"/>
                <w:numPr>
                  <w:ilvl w:val="0"/>
                  <w:numId w:val="10"/>
                </w:numPr>
              </w:pPr>
              <w:r>
                <w:t xml:space="preserve">Unauthorized disclosure of data which would have the effect of violating the consideration of the data subject or their private life, or of causing damage to their privacy, shall be punishable by five years' imprisonment and a fine of EUR 300,000, or a fine of EUR 100,000 where it has been committed through negligence or carelessness. Prosecution can only be carried out upon a complaint from the victim, their legal representative, or successors in title.</w:t>
              </w:r>
            </w:p>
            <w:p>
              <w:pPr>
                <w:pStyle w:val="BodyText"/>
              </w:pPr>
              <w:pPr>
                <w:pStyle w:val="ListParagraph"/>
                <w:numPr>
                  <w:ilvl w:val="0"/>
                  <w:numId w:val="10"/>
                </w:numPr>
              </w:pPr>
              <w:r>
                <w:t xml:space="preserve">Transfers of personal data in violation of Chapter V of the GDPR is punishable by five years' imprisonment and a fine of EUR 300,000.</w:t>
              </w:r>
            </w:p>
            <w:p>
              <w:pPr>
                <w:pStyle w:val="BodyText"/>
              </w:pPr>
              <w:pPr>
                <w:pStyle w:val="ListParagraph"/>
                <w:numPr>
                  <w:ilvl w:val="0"/>
                  <w:numId w:val="10"/>
                </w:numPr>
              </w:pPr>
              <w:r>
                <w:t xml:space="preserve">It is punishable by one year's imprisonment and a fine of EUR 15,000 to obstruct actions of the CNIL, either by opposing the performance of the tasks entrusted to its members or to authorized agents when the visit has been authorized by the judge; either by refusing to communicate to its members or to the agents authorized the information and documents relevant to their mission, or by concealing or removing such documents or information; by communicating information that does not conform to the content of the recordings as it was at the time the request was made or that does not present such content in a directly accessible form.</w:t>
              </w:r>
            </w:p>
            <w:p>
              <w:pPr>
                <w:pStyle w:val="BodyText"/>
              </w:pPr>
              <w:pPr>
                <w:jc w:val="both"/>
              </w:pPr>
              <w:r>
                <w:t xml:space="preserve">Pursuant to article 226-23 of the Criminal Code, in the cases provided for above (i.e., as set out in Articles 226-16 to 226-22-2), the erasure of all or part of the personal data processed in respect of which the offense was committed may be ordered. The members and agents of the National Commission for Informatics and Liberties are entitled to note the deletion of these data.</w:t>
              </w:r>
            </w:p>
            <w:p>
              <w:pPr>
                <w:pStyle w:val="BodyText"/>
              </w:pPr>
              <w:pPr>
                <w:jc w:val="both"/>
              </w:pPr>
              <w:r>
                <w:t xml:space="preserve">Finally, legal persons found criminally liable, under the conditions provided for in article 121-2, for offenses defined in the aforementioned situations, shall be liable to the penalties provided for in articles 131-39, 2° to 5° and 7° to 9° of the Criminal Code.</w:t>
              </w:r>
            </w:p>
            <w:p>
              <w:pPr>
                <w:pStyle w:val="BodyText"/>
              </w:pPr>
              <w:r>
                <w:t xml:space="preserve">☒        private remedies</w:t>
              </w:r>
            </w:p>
            <w:p>
              <w:pPr>
                <w:pStyle w:val="BodyText"/>
              </w:pPr>
              <w:r>
                <w:t xml:space="preserve">Individuals may, for example:</w:t>
              </w:r>
            </w:p>
            <w:p>
              <w:pPr>
                <w:pStyle w:val="BodyText"/>
              </w:pPr>
              <w:pPr>
                <w:pStyle w:val="ListParagraph"/>
                <w:numPr>
                  <w:ilvl w:val="0"/>
                  <w:numId w:val="11"/>
                </w:numPr>
              </w:pPr>
              <w:r>
                <w:t xml:space="preserve">file complaints with the CNIL (article 11 of the Data Protection Act)</w:t>
              </w:r>
            </w:p>
            <w:p>
              <w:pPr>
                <w:pStyle w:val="BodyText"/>
              </w:pPr>
              <w:pPr>
                <w:pStyle w:val="ListParagraph"/>
                <w:numPr>
                  <w:ilvl w:val="0"/>
                  <w:numId w:val="11"/>
                </w:numPr>
              </w:pPr>
              <w:r>
                <w:t xml:space="preserve">claim damages for material or non-material damages (article 43 Ter of the Data Protection Act)</w:t>
              </w:r>
            </w:p>
            <w:p>
              <w:pPr>
                <w:pStyle w:val="BodyText"/>
              </w:pPr>
              <w:pPr>
                <w:jc w:val="both"/>
              </w:pPr>
              <w:r>
                <w:t xml:space="preserve">More precisely, in relation to judicial proceedings, the current group action provided for in article 43 Ter of the Data Protection Act can only terminate a violation of the Data Protection Act and cannot compensate data subjects for damages resulting from such a violation.</w:t>
              </w:r>
            </w:p>
            <w:p>
              <w:pPr>
                <w:pStyle w:val="BodyText"/>
              </w:pPr>
              <w:pPr>
                <w:jc w:val="both"/>
              </w:pPr>
              <w:r>
                <w:t xml:space="preserve">Pursuant to article 43 quarter, any person may mandate/appoint an association or organization referred to in article 43 Ter to exercise on his or her behalf the rights provided for in Articles 77 to 79 and 82 of the GDPR (i.e., right to lodge a complaint with a supervisory authority, right to an effective judicial remedy against a supervisory authority, a controller or a processor, and right to compensation and liability). It may also mandate them to act before the CNIL, against the latter before a judge or against the controller or their processor before a court.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data subjects have private remedies, what form can these remedies take?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pPr>
                <w:spacing w:after="0"/>
              </w:pPr>
              <w:r>
                <w:t xml:space="preserve">☒        individual personal actions</w:t>
              </w:r>
            </w:p>
            <w:p>
              <w:pPr>
                <w:pStyle w:val="BodyText"/>
              </w:pPr>
              <w:pPr>
                <w:spacing w:after="0"/>
              </w:pPr>
              <w:r>
                <w:t xml:space="preserve">☒        representative actions (e.g., brought by a consumer / data privacy body or the supervisory authority)</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cnil.fr/fr/les-controles-de-la-cnil-en-2024-donnees-des-mineurs-jeux-olympiques-droit-dacces-et-tickets-de" TargetMode="External" Id="Rda1fa624bcf24dc4" /><Relationship Type="http://schemas.openxmlformats.org/officeDocument/2006/relationships/hyperlink" Target="https://www.legifrance.gouv.fr/jorf/id/JORFTEXT000041553759/" TargetMode="External" Id="R48be5679817e4dd1" /><Relationship Type="http://schemas.openxmlformats.org/officeDocument/2006/relationships/hyperlink" Target="https://www.cnil.fr/en/cnil-publishes-its-2022-2024-strategic-plan" TargetMode="External" Id="R97d93b34f6024a44" /><Relationship Type="http://schemas.openxmlformats.org/officeDocument/2006/relationships/hyperlink" Target="https://www.cnil.fr/en/home" TargetMode="External" Id="R97d5ffca1c084672" /><Relationship Type="http://schemas.openxmlformats.org/officeDocument/2006/relationships/hyperlink" Target="https://www.ssi.gouv.fr/en/" TargetMode="External" Id="R5ae40834057b473b"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