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Mexico</w:t>
      </w:r>
      <w:r w:rsidR="00480329"/>
    </w:p>
    <w:p w:rsidRPr="00BC7873" w:rsidR="00BC7873" w:rsidP="00D354EF" w:rsidRDefault="00051AB4" w14:paraId="2476CC56" w14:textId="2FB25FA9">
      <w:pPr>
        <w:pStyle w:val="Title"/>
      </w:pPr>
      <w:r w:rsidRPr="00BC7873">
        <w:t>6. What is the process for becoming authorized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process for becoming authorized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both"/>
              </w:pPr>
              <w:r>
                <w:t xml:space="preserve">To obtain authorization, an applicant must undergo a formal process, which involves completing required application forms and submitting supporting information.</w:t>
              </w:r>
            </w:p>
            <w:p>
              <w:pPr>
                <w:pStyle w:val="BodyText"/>
              </w:pPr>
              <w:pPr>
                <w:jc w:val="both"/>
              </w:pPr>
              <w:r>
                <w:t xml:space="preserve">In relation to timing, in most cases, the regulator will have three to six months from receipt of a completed application to determine whether or not to approve the application.</w:t>
              </w:r>
            </w:p>
            <w:p>
              <w:pPr>
                <w:pStyle w:val="BodyText"/>
              </w:pPr>
              <w:pPr>
                <w:jc w:val="both"/>
              </w:pPr>
              <w:r>
                <w:t xml:space="preserve">The particular forms that must be completed for submission to the corresponding regulator will depend on the nature of the regulated activities.</w:t>
              </w:r>
            </w:p>
            <w:p>
              <w:pPr>
                <w:pStyle w:val="BodyText"/>
              </w:pPr>
              <w:pPr>
                <w:jc w:val="both"/>
              </w:pPr>
              <w:r>
                <w:t xml:space="preserve">In general terms, regulators request the following information:</w:t>
              </w:r>
            </w:p>
            <w:p>
              <w:pPr>
                <w:pStyle w:val="BodyText"/>
              </w:pPr>
              <w:pPr>
                <w:pStyle w:val="ListParagraph"/>
                <w:numPr>
                  <w:ilvl w:val="0"/>
                  <w:numId w:val="9"/>
                </w:numPr>
              </w:pPr>
              <w:r>
                <w:t xml:space="preserve">Draft bylaws</w:t>
              </w:r>
            </w:p>
            <w:p>
              <w:pPr>
                <w:pStyle w:val="BodyText"/>
              </w:pPr>
              <w:pPr>
                <w:pStyle w:val="ListParagraph"/>
                <w:numPr>
                  <w:ilvl w:val="0"/>
                  <w:numId w:val="9"/>
                </w:numPr>
              </w:pPr>
              <w:r>
                <w:t xml:space="preserve">Information of the shareholders</w:t>
              </w:r>
            </w:p>
            <w:p>
              <w:pPr>
                <w:pStyle w:val="BodyText"/>
              </w:pPr>
              <w:pPr>
                <w:pStyle w:val="ListParagraph"/>
                <w:numPr>
                  <w:ilvl w:val="0"/>
                  <w:numId w:val="9"/>
                </w:numPr>
              </w:pPr>
              <w:r>
                <w:t xml:space="preserve">Information of relevant officers</w:t>
              </w:r>
            </w:p>
            <w:p>
              <w:pPr>
                <w:pStyle w:val="BodyText"/>
              </w:pPr>
              <w:pPr>
                <w:pStyle w:val="ListParagraph"/>
                <w:numPr>
                  <w:ilvl w:val="0"/>
                  <w:numId w:val="9"/>
                </w:numPr>
              </w:pPr>
              <w:r>
                <w:t xml:space="preserve">Operational plan</w:t>
              </w:r>
            </w:p>
            <w:p>
              <w:pPr>
                <w:pStyle w:val="BodyText"/>
              </w:pPr>
              <w:pPr>
                <w:pStyle w:val="ListParagraph"/>
                <w:numPr>
                  <w:ilvl w:val="0"/>
                  <w:numId w:val="9"/>
                </w:numPr>
              </w:pPr>
              <w:r>
                <w:t xml:space="preserve">Manual of conduct</w:t>
              </w:r>
            </w:p>
            <w:p>
              <w:pPr>
                <w:pStyle w:val="BodyText"/>
              </w:pPr>
              <w:pPr>
                <w:pStyle w:val="ListParagraph"/>
                <w:numPr>
                  <w:ilvl w:val="0"/>
                  <w:numId w:val="9"/>
                </w:numPr>
              </w:pPr>
              <w:r>
                <w:t xml:space="preserve">Anti-Money Laundering Manual </w:t>
              </w:r>
            </w:p>
            <w:p>
              <w:pPr>
                <w:pStyle w:val="BodyText"/>
              </w:pPr>
              <w:pPr>
                <w:pStyle w:val="ListParagraph"/>
                <w:numPr>
                  <w:ilvl w:val="0"/>
                  <w:numId w:val="9"/>
                </w:numPr>
              </w:pPr>
              <w:r>
                <w:t xml:space="preserve">Financial viability study</w:t>
              </w:r>
            </w:p>
            <w:p>
              <w:pPr>
                <w:pStyle w:val="BodyText"/>
              </w:pPr>
              <w:pPr>
                <w:pStyle w:val="ListParagraph"/>
                <w:numPr>
                  <w:ilvl w:val="0"/>
                  <w:numId w:val="9"/>
                </w:numPr>
              </w:pPr>
              <w:r>
                <w:t xml:space="preserve">In the case of banks, a deposit in guarantee; in the case of FTIs, a minimum capital to be included as equity</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