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Colombia</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Based on constitutional mandates, Colombia regulates a broad range of activities, which require the SFCs authorization and often, the setting up of a local, regulated entity. Relevant examples are as follows:</w:t>
              </w:r>
            </w:p>
            <w:p>
              <w:pPr>
                <w:pStyle w:val="BodyText"/>
              </w:pPr>
              <w:pPr>
                <w:pStyle w:val="ListParagraph"/>
                <w:numPr>
                  <w:ilvl w:val="0"/>
                  <w:numId w:val="9"/>
                </w:numPr>
              </w:pPr>
              <w:r>
                <w:t xml:space="preserve">Banking activities involving accepting deposits (which covers banks in general and an array of other deposit-taking institutions)</w:t>
              </w:r>
            </w:p>
            <w:p>
              <w:pPr>
                <w:pStyle w:val="BodyText"/>
              </w:pPr>
              <w:pPr>
                <w:pStyle w:val="ListParagraph"/>
                <w:numPr>
                  <w:ilvl w:val="0"/>
                  <w:numId w:val="9"/>
                </w:numPr>
              </w:pPr>
              <w:r>
                <w:t xml:space="preserve">Lending in general, when the sums originate in funds collected from the public</w:t>
              </w:r>
            </w:p>
            <w:p>
              <w:pPr>
                <w:pStyle w:val="BodyText"/>
              </w:pPr>
              <w:pPr>
                <w:pStyle w:val="ListParagraph"/>
                <w:numPr>
                  <w:ilvl w:val="0"/>
                  <w:numId w:val="9"/>
                </w:numPr>
              </w:pPr>
              <w:r>
                <w:t xml:space="preserve">Carrying out insurance and reinsurance in general</w:t>
              </w:r>
            </w:p>
            <w:p>
              <w:pPr>
                <w:pStyle w:val="BodyText"/>
              </w:pPr>
              <w:pPr>
                <w:pStyle w:val="ListParagraph"/>
                <w:numPr>
                  <w:ilvl w:val="0"/>
                  <w:numId w:val="9"/>
                </w:numPr>
              </w:pPr>
              <w:r>
                <w:t xml:space="preserve">Carrying out insurance and reinsurance intermediation</w:t>
              </w:r>
            </w:p>
            <w:p>
              <w:pPr>
                <w:pStyle w:val="BodyText"/>
              </w:pPr>
              <w:pPr>
                <w:pStyle w:val="ListParagraph"/>
                <w:numPr>
                  <w:ilvl w:val="0"/>
                  <w:numId w:val="9"/>
                </w:numPr>
              </w:pPr>
              <w:r>
                <w:t xml:space="preserve">Intermediation of publicly traded securities (which covers, among others, broker-dealers, providing securities investment advice and providing activities ancillary to securities markets such as custody, registration of transactions, settlement and self-regulation)</w:t>
              </w:r>
            </w:p>
            <w:p>
              <w:pPr>
                <w:pStyle w:val="BodyText"/>
              </w:pPr>
              <w:pPr>
                <w:pStyle w:val="ListParagraph"/>
                <w:numPr>
                  <w:ilvl w:val="0"/>
                  <w:numId w:val="9"/>
                </w:numPr>
              </w:pPr>
              <w:r>
                <w:t xml:space="preserve">Infrastructure providers (which covers electronic payment services, rating agencies and delivery of detailed market information, among others)</w:t>
              </w:r>
            </w:p>
            <w:p>
              <w:pPr>
                <w:pStyle w:val="BodyText"/>
              </w:pPr>
              <w:pPr>
                <w:pStyle w:val="ListParagraph"/>
                <w:numPr>
                  <w:ilvl w:val="0"/>
                  <w:numId w:val="9"/>
                </w:numPr>
              </w:pPr>
              <w:r>
                <w:t xml:space="preserve">Trust services (which may collect funds from the public)</w:t>
              </w:r>
            </w:p>
            <w:p>
              <w:pPr>
                <w:pStyle w:val="BodyText"/>
              </w:pPr>
              <w:pPr>
                <w:pStyle w:val="ListParagraph"/>
                <w:numPr>
                  <w:ilvl w:val="0"/>
                  <w:numId w:val="9"/>
                </w:numPr>
              </w:pPr>
              <w:r>
                <w:t xml:space="preserve">Bonded warehouses</w:t>
              </w:r>
            </w:p>
            <w:p>
              <w:pPr>
                <w:pStyle w:val="BodyText"/>
              </w:pPr>
              <w:pPr>
                <w:pStyle w:val="ListParagraph"/>
                <w:numPr>
                  <w:ilvl w:val="0"/>
                  <w:numId w:val="9"/>
                </w:numPr>
              </w:pPr>
              <w:r>
                <w:t xml:space="preserve">Investment management (which may be carried out by an array of institutions, such as broker-dealers, pension funds and trust companies)</w:t>
              </w:r>
            </w:p>
            <w:p>
              <w:pPr>
                <w:pStyle w:val="BodyText"/>
              </w:pPr>
              <w:pPr>
                <w:pStyle w:val="ListParagraph"/>
                <w:numPr>
                  <w:ilvl w:val="0"/>
                  <w:numId w:val="9"/>
                </w:numPr>
              </w:pPr>
              <w:r>
                <w:t xml:space="preserve">Financial cooperatives</w:t>
              </w:r>
            </w:p>
            <w:p>
              <w:pPr>
                <w:pStyle w:val="BodyText"/>
              </w:pPr>
              <w:pPr>
                <w:pStyle w:val="ListParagraph"/>
                <w:numPr>
                  <w:ilvl w:val="0"/>
                  <w:numId w:val="9"/>
                </w:numPr>
              </w:pPr>
              <w:r>
                <w:t xml:space="preserve">Management of pension funds</w:t>
              </w:r>
            </w:p>
            <w:p>
              <w:pPr>
                <w:pStyle w:val="BodyText"/>
              </w:pPr>
              <w:pPr>
                <w:pStyle w:val="ListParagraph"/>
                <w:numPr>
                  <w:ilvl w:val="0"/>
                  <w:numId w:val="9"/>
                </w:numPr>
              </w:pPr>
              <w:r>
                <w:t xml:space="preserve">Promotion of non-Colombian financial/capital market services and products in Colombia</w:t>
              </w:r>
            </w:p>
            <w:p>
              <w:pPr>
                <w:pStyle w:val="BodyText"/>
              </w:pPr>
              <w:r>
                <w:t xml:space="preserve">Note that proprietary sale and/or purchase of cryptoassets and cryptocurrencies is considered a non-regulated activity under current law and the Colombian central bank has stated in non-binding opinions that the cryptocurrencies are not currencies. However, following a number of supervisory recommendations and opinions, financial institutions are mostly barred from investing in or trading with cryptoassets.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