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Azerbaijan - Baku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To qualify for listing at the Baku Stock Exchange (BSE), the following financial requirements must be met:</w:t>
                  </w:r>
                </w:p>
                <w:p>
                  <w:pPr>
                    <w:pStyle w:val="BodyText"/>
                  </w:pPr>
                  <w:pPr>
                    <w:pStyle w:val="ListParagraph"/>
                    <w:numPr>
                      <w:ilvl w:val="0"/>
                      <w:numId w:val="17"/>
                    </w:numPr>
                  </w:pPr>
                  <w:r>
                    <w:rPr>
                      <w:b/>
                    </w:rPr>
                    <w:t xml:space="preserve">Primary Market</w:t>
                  </w:r>
                </w:p>
                <w:p>
                  <w:pPr>
                    <w:pStyle w:val="BodyText"/>
                  </w:pPr>
                  <w:pPr>
                    <w:pStyle w:val="ListParagraph"/>
                    <w:numPr>
                      <w:ilvl w:val="1"/>
                      <w:numId w:val="18"/>
                    </w:numPr>
                    <w:ind w:left="1560"/>
                  </w:pPr>
                  <w:r>
                    <w:t xml:space="preserve">At least three years of operating history.</w:t>
                  </w:r>
                </w:p>
                <w:p>
                  <w:pPr>
                    <w:pStyle w:val="BodyText"/>
                  </w:pPr>
                  <w:pPr>
                    <w:pStyle w:val="ListParagraph"/>
                    <w:numPr>
                      <w:ilvl w:val="1"/>
                      <w:numId w:val="18"/>
                    </w:numPr>
                    <w:ind w:left="1560"/>
                  </w:pPr>
                  <w:r>
                    <w:t xml:space="preserve">Not subject to any bankruptcy process during the year prior to the date of application or have had any financial stability within such period of time.</w:t>
                  </w:r>
                </w:p>
                <w:p>
                  <w:pPr>
                    <w:pStyle w:val="BodyText"/>
                  </w:pPr>
                  <w:pPr>
                    <w:pStyle w:val="ListParagraph"/>
                    <w:numPr>
                      <w:ilvl w:val="1"/>
                      <w:numId w:val="18"/>
                    </w:numPr>
                    <w:ind w:left="1560"/>
                  </w:pPr>
                  <w:r>
                    <w:t xml:space="preserve">Minimum equity capital of AZN2.5 million (approximately US$1.47 million).</w:t>
                  </w:r>
                </w:p>
                <w:p>
                  <w:pPr>
                    <w:pStyle w:val="BodyText"/>
                  </w:pPr>
                  <w:pPr>
                    <w:pStyle w:val="ListParagraph"/>
                    <w:numPr>
                      <w:ilvl w:val="1"/>
                      <w:numId w:val="18"/>
                    </w:numPr>
                    <w:ind w:left="1560"/>
                  </w:pPr>
                  <w:r>
                    <w:t xml:space="preserve">Annual net profit for at least one year of the last three financial years.</w:t>
                  </w:r>
                </w:p>
                <w:p>
                  <w:pPr>
                    <w:pStyle w:val="BodyText"/>
                  </w:pPr>
                  <w:pPr>
                    <w:pStyle w:val="ListParagraph"/>
                    <w:numPr>
                      <w:ilvl w:val="0"/>
                      <w:numId w:val="17"/>
                    </w:numPr>
                  </w:pPr>
                  <w:r>
                    <w:rPr>
                      <w:b/>
                    </w:rPr>
                    <w:t xml:space="preserve">Standard Market</w:t>
                  </w:r>
                </w:p>
                <w:p>
                  <w:pPr>
                    <w:pStyle w:val="BodyText"/>
                  </w:pPr>
                  <w:pPr>
                    <w:pStyle w:val="ListParagraph"/>
                    <w:numPr>
                      <w:ilvl w:val="1"/>
                      <w:numId w:val="19"/>
                    </w:numPr>
                    <w:ind w:left="1560"/>
                  </w:pPr>
                  <w:r>
                    <w:t xml:space="preserve">Annual net profit for at least one year of the last three financial years.</w:t>
                  </w:r>
                </w:p>
                <w:p>
                  <w:pPr>
                    <w:pStyle w:val="BodyText"/>
                  </w:pPr>
                  <w:pPr>
                    <w:pStyle w:val="ListParagraph"/>
                    <w:numPr>
                      <w:ilvl w:val="1"/>
                      <w:numId w:val="19"/>
                    </w:numPr>
                    <w:ind w:left="1560"/>
                  </w:pPr>
                  <w:r>
                    <w:t xml:space="preserve">Equity capital requirements ranging from AZN200,000 to AZN2.5 million (approximately US$117,640 to US$1.47 million, respectively).</w:t>
                  </w:r>
                </w:p>
                <w:p>
                  <w:pPr>
                    <w:pStyle w:val="BodyText"/>
                  </w:pPr>
                  <w:pPr>
                    <w:pStyle w:val="ListParagraph"/>
                    <w:numPr>
                      <w:ilvl w:val="1"/>
                      <w:numId w:val="19"/>
                    </w:numPr>
                    <w:ind w:left="1560"/>
                  </w:pPr>
                  <w:r>
                    <w:t xml:space="preserve">At least one year of operating history.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Distribution</w:t>
                  </w:r>
                  <w:r>
                    <w:t xml:space="preserve">. The free float and minimum number of shareholders requirements in the primary market are as follows (no specific requirements have been determined for standard market listings):</w:t>
                  </w:r>
                </w:p>
                <w:p>
                  <w:pPr>
                    <w:pStyle w:val="BodyText"/>
                  </w:pPr>
                  <w:pPr>
                    <w:pStyle w:val="ListParagraph"/>
                    <w:numPr>
                      <w:ilvl w:val="0"/>
                      <w:numId w:val="16"/>
                    </w:numPr>
                  </w:pPr>
                  <w:r>
                    <w:t xml:space="preserve">Free float: 10% free float or at least equivalent to AZN500,000 (approximately US$294,100) in the primary market.</w:t>
                  </w:r>
                </w:p>
                <w:p>
                  <w:pPr>
                    <w:pStyle w:val="BodyText"/>
                  </w:pPr>
                  <w:pPr>
                    <w:pStyle w:val="ListParagraph"/>
                    <w:numPr>
                      <w:ilvl w:val="0"/>
                      <w:numId w:val="16"/>
                    </w:numPr>
                  </w:pPr>
                  <w:r>
                    <w:t xml:space="preserve">The minimum number of shareholders should be at least 50, none of whom can buy more than 5% of the free float shares.</w:t>
                  </w:r>
                </w:p>
                <w:p>
                  <w:pPr>
                    <w:pStyle w:val="BodyText"/>
                  </w:pPr>
                  <w:r>
                    <w:rPr>
                      <w:i/>
                    </w:rPr>
                    <w:t xml:space="preserve">Share price</w:t>
                  </w:r>
                  <w:r>
                    <w:t xml:space="preserve">. There is no requirement to maintain a minimum trading price, but all shares must be denominated in AZN.</w:t>
                  </w:r>
                </w:p>
                <w:p>
                  <w:pPr>
                    <w:pStyle w:val="BodyText"/>
                  </w:pPr>
                  <w:r>
                    <w:rPr>
                      <w:i/>
                    </w:rPr>
                    <w:t xml:space="preserve">Corporate form</w:t>
                  </w:r>
                  <w:r>
                    <w:t xml:space="preserve">. The company must be organized in the form of an open joint stock company for a listing on the primary or standard equity market segments.</w:t>
                  </w:r>
                </w:p>
                <w:p>
                  <w:pPr>
                    <w:pStyle w:val="BodyText"/>
                  </w:pPr>
                  <w:r>
                    <w:rPr>
                      <w:i/>
                    </w:rPr>
                    <w:t xml:space="preserve">Foreign documents</w:t>
                  </w:r>
                  <w:r>
                    <w:t xml:space="preserve">. The documents provided by a foreign issuer must be certified in the company's country of establishment and translated into Azerbaijani.</w:t>
                  </w:r>
                </w:p>
                <w:p>
                  <w:pPr>
                    <w:pStyle w:val="BodyText"/>
                  </w:pPr>
                  <w:r>
                    <w:rPr>
                      <w:i/>
                    </w:rPr>
                    <w:t xml:space="preserve">Website</w:t>
                  </w:r>
                  <w:r>
                    <w:t xml:space="preserve">. The company must publish its articles of association on its official website. Important trends and activity updates must also be published on the company's website.</w:t>
                  </w:r>
                </w:p>
                <w:p>
                  <w:pPr>
                    <w:pStyle w:val="BodyText"/>
                  </w:pPr>
                  <w:r>
                    <w:rPr>
                      <w:i/>
                    </w:rPr>
                    <w:t xml:space="preserve">Accounting standards. </w:t>
                  </w:r>
                  <w:r>
                    <w:t xml:space="preserve">If the securities are already listed on an Approved Stock Exchange, the foreign company is not required to provide financial statements at the time of initial listing. Subsequently, foreign companies with securities listed in an Approved Stock Exchange must file financial statements with the SMV and the BVL in accordance with the disclosure requirements of the primary market.</w:t>
                  </w:r>
                </w:p>
                <w:p>
                  <w:pPr>
                    <w:pStyle w:val="BodyText"/>
                  </w:pPr>
                  <w:r>
                    <w:rPr>
                      <w:i/>
                    </w:rPr>
                    <w:t xml:space="preserve">Financial statements</w:t>
                  </w:r>
                  <w:r>
                    <w:t xml:space="preserve">. The company must submit last audited annual and semi-annual financial statements and the respective audit certificates if listing on the Primary or Standard Markets.</w:t>
                  </w:r>
                </w:p>
                <w:p>
                  <w:pPr>
                    <w:pStyle w:val="BodyText"/>
                  </w:pPr>
                  <w:r>
                    <w:rPr>
                      <w:i/>
                    </w:rPr>
                    <w:t xml:space="preserve">Management continuity. </w:t>
                  </w:r>
                  <w:r>
                    <w:t xml:space="preserve">For a listing on the primary market segment, the BSE requires that no significant changes must have occurred in the company's management bodies during the three months before the application to the BSE (such as if more than half of the company's supervisory council or management board members have changed).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following is a fairly typical process and timetable for a listing of a foreign company on the BSE.</w:t>
                  </w:r>
                </w:p>
                <w:p>
                  <w:pPr>
                    <w:pStyle w:val="BodyText"/>
                  </w:pPr>
                  <w:hyperlink w:history="true" r:id="R261a086bae714187">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listed on the primary market must have a board of directors composed of at least three members with an independent director forming at least one third of the board. Such company must also have an internal audit committee in its corporate structure. There are no board of directors requirements for listing on the standard market.</w:t>
                  </w:r>
                </w:p>
                <w:p>
                  <w:pPr>
                    <w:pStyle w:val="BodyText"/>
                  </w:pPr>
                  <w:r>
                    <w:t xml:space="preserve">A listed company has reporting obligations related to periodic financial reports and disclosure of certain important events.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before="119"/>
                  </w:pPr>
                  <w:r>
                    <w:t xml:space="preserve">There are no initial fees associated with a listing on the BSE.</w:t>
                  </w:r>
                </w:p>
                <w:p>
                  <w:pPr>
                    <w:pStyle w:val="BodyText"/>
                  </w:pPr>
                  <w:pPr>
                    <w:spacing w:before="119"/>
                  </w:pPr>
                  <w:r>
                    <w:t xml:space="preserve">The annual fee is calculated as below:</w:t>
                  </w:r>
                </w:p>
                <w:p>
                  <w:pPr>
                    <w:pStyle w:val="BodyText"/>
                  </w:pPr>
                  <w:pPr>
                    <w:pStyle w:val="ListParagraph"/>
                    <w:numPr>
                      <w:ilvl w:val="0"/>
                      <w:numId w:val="15"/>
                    </w:numPr>
                  </w:pPr>
                  <w:r>
                    <w:rPr>
                      <w:color w:val="000000"/>
                    </w:rPr>
                    <w:t xml:space="preserve">AZN1,000 (approximately US$588) for the primary market</w:t>
                  </w:r>
                </w:p>
                <w:p>
                  <w:pPr>
                    <w:pStyle w:val="BodyText"/>
                  </w:pPr>
                  <w:pPr>
                    <w:pStyle w:val="ListParagraph"/>
                    <w:numPr>
                      <w:ilvl w:val="0"/>
                      <w:numId w:val="15"/>
                    </w:numPr>
                  </w:pPr>
                  <w:r>
                    <w:rPr>
                      <w:color w:val="000000"/>
                    </w:rPr>
                    <w:t xml:space="preserve">AZN500 (approximately US$294) for the standard market</w:t>
                  </w:r>
                </w:p>
                <w:p>
                  <w:pPr>
                    <w:pStyle w:val="BodyText"/>
                  </w:pPr>
                  <w:pPr>
                    <w:ind w:left="0" w:right="0"/>
                    <w:spacing w:before="119" w:after="59"/>
                  </w:pPr>
                  <w:r>
                    <w:rPr>
                      <w:color w:val="000000"/>
                    </w:rPr>
                    <w:t xml:space="preserve">State-guaranteed bonds issued by the municipalities, local authorities and other public bodies and the Azerbaijan Mortgage and Credit Guarantee Fund are exempted from annual fees. Zero-risk or risk-free bonds in accordance with the principles of Basel II, recommended by the Basel Committee on Banking Supervision, and open joint stock companies of which at least 51% of shares are owned by the Republic of Azerbaijan are also exempted from annual fees.</w:t>
                  </w:r>
                </w:p>
                <w:p>
                  <w:pPr>
                    <w:pStyle w:val="BodyText"/>
                  </w:pPr>
                  <w:pPr>
                    <w:ind w:left="0" w:right="0"/>
                    <w:spacing w:before="119" w:after="59"/>
                  </w:pPr>
                  <w:r>
                    <w:t xml:space="preserve">Tariffs do not apply to the Central Bank of the Republic of Azerbaijan and the Ministry of Finance of the Republic of Azerbaijan. </w:t>
                  </w:r>
                </w:p>
                <w:p>
                  <w:pPr>
                    <w:pStyle w:val="BodyText"/>
                  </w:pPr>
                  <w:pPr>
                    <w:spacing w:before="119"/>
                  </w:pPr>
                  <w:r>
                    <w:t xml:space="preserve"> In accordance with the decision of the Supervisory Board of the Baku Stock Exchange, issuers of shares listed for the first time through the public offering method, still listed as at 31 December 2023, are exempted from the listing service fee for that period.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Baku Stock Exchange (BSE) is the only stock exchange in Azerbaijan. It began its operations on 15 February 2000, with the support of the Central Bank of the Republic of Azerbaijan (the CBA). The first trading operation at the stock exchange was carried out on 1 September 2000. The BSE is organized in the form of a closed joint stock company with 20 shareholders.</w:t>
                  </w:r>
                </w:p>
                <w:p>
                  <w:pPr>
                    <w:pStyle w:val="BodyText"/>
                  </w:pPr>
                  <w:r>
                    <w:t xml:space="preserve">In total, two companies have listed at the BSE so far, both of them being domestic.</w:t>
                  </w:r>
                </w:p>
                <w:p>
                  <w:pPr>
                    <w:pStyle w:val="BodyText"/>
                  </w:pPr>
                  <w:r>
                    <w:t xml:space="preserve">The CBA is the state regulatory authority for the stock exchange and the securities market in Azerbaijan. It has relatively large powers and can issue rules to regulate the securities market, including those related to participation of foreign companies in the Azerbaijani securities market.</w:t>
                  </w:r>
                </w:p>
                <w:p>
                  <w:pPr>
                    <w:pStyle w:val="BodyText"/>
                  </w:pPr>
                  <w:r>
                    <w:t xml:space="preserve">For the purposes of this document, it is noteworthy to mention that the listing of foreign companies in Azerbaijan is not regulated under the Rules On Listing, Delisting and Admission to Trade of Securities approved by the BSE on 28 October 2021 (the Rules), which are the primary listing rules in Azerbaijan. The BSE officials communicate that if foreign issuers follow the rules and regulations now in force at the securities market in respect of the circulation of foreign securities, then the listing of foreign companies can be considered for review by the BSE, but this cannot be guaranteed due to the lack of applicable laws on listing of foreign securities.</w:t>
                  </w:r>
                </w:p>
                <w:p>
                  <w:pPr>
                    <w:pStyle w:val="BodyText"/>
                  </w:pPr>
                  <w:r>
                    <w:t xml:space="preserve">According to the Regulations on Circulation of Securities of Foreign Issuers in the Republic of Azerbaijan approved by the CBA on 6 September 2000 (the Regulations), foreign issuers can apply for circulation of their securities in the Republic of Azerbaijan only upon obtaining a Certificate on Turnover of Securities of Foreign Issuers in the Republic of Azerbaijan issued by the CBA. To obtain such, the foreign issuer must submit an application to the CBA along with the required documents, and the CBA will review and respond to such application within 30 business days. All documents provided by a foreign company must be certified in the country of the company's establishment and translated into Azerbaijani.</w:t>
                  </w:r>
                </w:p>
                <w:p>
                  <w:pPr>
                    <w:pStyle w:val="BodyText"/>
                  </w:pPr>
                  <w:r>
                    <w:t xml:space="preserve">According to paragraph 3.1 of the Regulations, the CBA has the right to restrict or prohibit the circulation of foreign securities in the Republic of Azerbaijan for the purposes of regulation of the securities market. In the event that a positive response in respect of the application is issued by the CBA, the foreign securities can be placed and traded in Azerbaijan as per the agreement with the local investment company.</w:t>
                  </w:r>
                </w:p>
                <w:p>
                  <w:pPr>
                    <w:pStyle w:val="BodyText"/>
                  </w:pPr>
                  <w:r>
                    <w:t xml:space="preserve">However, it should be noted that Azerbaijani regulations and rules currently in force in relation to the circulation of foreign securities are outdated and not quite clear in terms of their practical implementation, and no foreign company has proceeded with such issuance to date.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Rules are new and apply fundamental changes in the listing process, as well as in the listing requirements which may encourage many potential issuers to show interest in the financial market.</w:t>
                  </w:r>
                </w:p>
                <w:p>
                  <w:pPr>
                    <w:pStyle w:val="BodyText"/>
                  </w:pPr>
                  <w:r>
                    <w:t xml:space="preserve">The new Rules, among other things, set out general requirements relating to the listing of securities, including specific requirements for shares, bonds and other securities. In particular, the Rules have created three market segments (primary, standard and alternative), into which the same kind of listed securities may be divided.</w:t>
                  </w:r>
                </w:p>
                <w:p>
                  <w:pPr>
                    <w:pStyle w:val="BodyText"/>
                  </w:pPr>
                  <w:pPr>
                    <w:spacing w:after="220"/>
                  </w:pPr>
                  <w:r>
                    <w:t xml:space="preserve">The creation of minimum capital requirements and free float rates per market segment are the most notable changes that will necessitate companies choose their market segment according to their financial and other indicators. One of the main rationales for the new Rules was to utilize and highlight companies' minimum capital requirements. Hence, companies wanting to be listed in the primary market segment must have equity capital amounting to at least AZN2.5 million (approximately US$1.47 million). For a listing in the standard market segment, for which there was no capital requirement before, companies must have equity capital amounting to at least AZN200,000 (approximately US$117,640). The main purpose of these capital requirement changes is to induce companies to list on the stock exchange and to enhance the capital markets in Azerbaijan.</w:t>
                  </w:r>
                </w:p>
                <w:p>
                  <w:pPr>
                    <w:pStyle w:val="BodyText"/>
                  </w:pPr>
                  <w:r>
                    <w:t xml:space="preserve">As a general requirement, a company seeking to be listed on the primary or standard market segments of the BSE must be formed as an open joint stock company (not applicable to debt securities) and registered in Azerbaijan in accordance with Azerbaijani laws.</w:t>
                  </w:r>
                </w:p>
                <w:p>
                  <w:pPr>
                    <w:pStyle w:val="BodyText"/>
                  </w:pPr>
                  <w:r>
                    <w:t xml:space="preserve">The Rules are generally silent on whether interviews with the BSE are required in advance of an application to list securities.</w:t>
                  </w:r>
                </w:p>
                <w:p>
                  <w:pPr>
                    <w:pStyle w:val="BodyText"/>
                  </w:pPr>
                  <w:r>
                    <w:rPr>
                      <w:i/>
                    </w:rPr>
                    <w:t xml:space="preserve">Equity market listing requirements</w:t>
                  </w:r>
                </w:p>
                <w:p>
                  <w:pPr>
                    <w:pStyle w:val="BodyText"/>
                  </w:pPr>
                  <w:r>
                    <w:t xml:space="preserve">The chart below reflects the key requirements for listing of shares in the primary, standard and alternative markets pursuant to the Rules.</w:t>
                  </w:r>
                </w:p>
                <w:p>
                  <w:pPr>
                    <w:pStyle w:val="BodyText"/>
                  </w:pPr>
                  <w:hyperlink w:history="true" r:id="Rf4984f5a0c8a4d35">
                    <w:r>
                      <w:rPr>
                        <w:rStyle w:val="Hyperlink"/>
                      </w:rPr>
                      <w:t xml:space="preserve">Link to Chart</w:t>
                    </w:r>
                  </w:hyperlink>
                </w:p>
                <w:p>
                  <w:pPr>
                    <w:pStyle w:val="BodyText"/>
                  </w:pPr>
                  <w:r>
                    <w:t xml:space="preserve">All shares listed on the BSE must be denominated in AZN. There is no requirement to maintain a minimum trading price in relation to listing on any market segment. In addition, there is no requirement for any shares to be placed into escrow (or otherwise be restrained from being traded, such as through "lock-in" or "lock-up" arrangements) in connection with the listing.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Required documentation</w:t>
                  </w:r>
                </w:p>
                <w:p>
                  <w:pPr>
                    <w:pStyle w:val="BodyText"/>
                  </w:pPr>
                  <w:pPr>
                    <w:spacing w:after="220"/>
                  </w:pPr>
                  <w:r>
                    <w:t xml:space="preserve">For primary market listings, a company must provide the following documents to the BSE:</w:t>
                  </w:r>
                </w:p>
                <w:p>
                  <w:pPr>
                    <w:pStyle w:val="BodyText"/>
                  </w:pPr>
                  <w:pPr>
                    <w:pStyle w:val="ListParagraph"/>
                    <w:numPr>
                      <w:ilvl w:val="0"/>
                      <w:numId w:val="13"/>
                    </w:numPr>
                  </w:pPr>
                  <w:r>
                    <w:t xml:space="preserve">Application form for listing.</w:t>
                  </w:r>
                </w:p>
                <w:p>
                  <w:pPr>
                    <w:pStyle w:val="BodyText"/>
                  </w:pPr>
                  <w:pPr>
                    <w:pStyle w:val="ListParagraph"/>
                    <w:numPr>
                      <w:ilvl w:val="0"/>
                      <w:numId w:val="13"/>
                    </w:numPr>
                  </w:pPr>
                  <w:r>
                    <w:t xml:space="preserve">Issue prospectus or</w:t>
                  </w:r>
                  <w:r>
                    <w:t xml:space="preserve"> information memorandum (if any) approved in accordance with the legislation.</w:t>
                  </w:r>
                </w:p>
                <w:p>
                  <w:pPr>
                    <w:pStyle w:val="BodyText"/>
                  </w:pPr>
                  <w:pPr>
                    <w:pStyle w:val="ListParagraph"/>
                    <w:numPr>
                      <w:ilvl w:val="0"/>
                      <w:numId w:val="13"/>
                    </w:numPr>
                  </w:pPr>
                  <w:r>
                    <w:t xml:space="preserve">Audited reports for the last financial year in accordance with the requirements of the Rules, a copy of the auditor's report or the source of disclosure of this information. </w:t>
                  </w:r>
                </w:p>
                <w:p>
                  <w:pPr>
                    <w:pStyle w:val="BodyText"/>
                  </w:pPr>
                  <w:pPr>
                    <w:pStyle w:val="ListParagraph"/>
                    <w:numPr>
                      <w:ilvl w:val="0"/>
                      <w:numId w:val="13"/>
                    </w:numPr>
                  </w:pPr>
                  <w:r>
                    <w:t xml:space="preserve">Copy of the docume</w:t>
                  </w:r>
                  <w:r>
                    <w:t xml:space="preserve">nt on state registration of securities.</w:t>
                  </w:r>
                </w:p>
                <w:p>
                  <w:pPr>
                    <w:pStyle w:val="BodyText"/>
                  </w:pPr>
                  <w:r>
                    <w:rPr>
                      <w:i/>
                    </w:rPr>
                    <w:t xml:space="preserve">Prospectus or Information Memorandum</w:t>
                  </w:r>
                </w:p>
                <w:p>
                  <w:pPr>
                    <w:pStyle w:val="BodyText"/>
                  </w:pPr>
                  <w:r>
                    <w:t xml:space="preserve">The prospectus or information memorandum, which should be registered with the CBA, should include the following information:</w:t>
                  </w:r>
                </w:p>
                <w:p>
                  <w:pPr>
                    <w:pStyle w:val="BodyText"/>
                  </w:pPr>
                  <w:pPr>
                    <w:pStyle w:val="ListParagraph"/>
                    <w:numPr>
                      <w:ilvl w:val="0"/>
                      <w:numId w:val="14"/>
                    </w:numPr>
                  </w:pPr>
                  <w:r>
                    <w:t xml:space="preserve">Full name, organizational-legal form and address of the company.</w:t>
                  </w:r>
                </w:p>
                <w:p>
                  <w:pPr>
                    <w:pStyle w:val="BodyText"/>
                  </w:pPr>
                  <w:pPr>
                    <w:pStyle w:val="ListParagraph"/>
                    <w:numPr>
                      <w:ilvl w:val="0"/>
                      <w:numId w:val="14"/>
                    </w:numPr>
                  </w:pPr>
                  <w:r>
                    <w:t xml:space="preserve">Information about the company from the state register of legal entities.</w:t>
                  </w:r>
                </w:p>
                <w:p>
                  <w:pPr>
                    <w:pStyle w:val="BodyText"/>
                  </w:pPr>
                  <w:pPr>
                    <w:pStyle w:val="ListParagraph"/>
                    <w:numPr>
                      <w:ilvl w:val="0"/>
                      <w:numId w:val="14"/>
                    </w:numPr>
                  </w:pPr>
                  <w:r>
                    <w:t xml:space="preserve">Information about management, executive and supervisory bodies of the company.</w:t>
                  </w:r>
                </w:p>
                <w:p>
                  <w:pPr>
                    <w:pStyle w:val="BodyText"/>
                  </w:pPr>
                  <w:pPr>
                    <w:pStyle w:val="ListParagraph"/>
                    <w:numPr>
                      <w:ilvl w:val="0"/>
                      <w:numId w:val="14"/>
                    </w:numPr>
                  </w:pPr>
                  <w:r>
                    <w:t xml:space="preserve">Information about branches and representative offices of the company.</w:t>
                  </w:r>
                </w:p>
                <w:p>
                  <w:pPr>
                    <w:pStyle w:val="BodyText"/>
                  </w:pPr>
                  <w:pPr>
                    <w:pStyle w:val="ListParagraph"/>
                    <w:numPr>
                      <w:ilvl w:val="0"/>
                      <w:numId w:val="14"/>
                    </w:numPr>
                  </w:pPr>
                  <w:r>
                    <w:t xml:space="preserve">Lists, contact details and information on the persons holding at least 10% of the voting share capital of the company.</w:t>
                  </w:r>
                </w:p>
                <w:p>
                  <w:pPr>
                    <w:pStyle w:val="BodyText"/>
                  </w:pPr>
                  <w:pPr>
                    <w:pStyle w:val="ListParagraph"/>
                    <w:numPr>
                      <w:ilvl w:val="0"/>
                      <w:numId w:val="14"/>
                    </w:numPr>
                  </w:pPr>
                  <w:r>
                    <w:t xml:space="preserve">Information about the company's equity capital, its structure, value, number of shares, their nominal value and types, including details on the benefits afforded to the different types of shares.</w:t>
                  </w:r>
                </w:p>
                <w:p>
                  <w:pPr>
                    <w:pStyle w:val="BodyText"/>
                  </w:pPr>
                  <w:pPr>
                    <w:pStyle w:val="ListParagraph"/>
                    <w:numPr>
                      <w:ilvl w:val="0"/>
                      <w:numId w:val="14"/>
                    </w:numPr>
                  </w:pPr>
                  <w:r>
                    <w:t xml:space="preserve">Company balance sheet and consolidated financial reports, together with the report of independent auditors. </w:t>
                  </w:r>
                </w:p>
                <w:p>
                  <w:pPr>
                    <w:pStyle w:val="BodyText"/>
                  </w:pPr>
                  <w:pPr>
                    <w:pStyle w:val="ListParagraph"/>
                    <w:numPr>
                      <w:ilvl w:val="0"/>
                      <w:numId w:val="14"/>
                    </w:numPr>
                  </w:pPr>
                  <w:r>
                    <w:t xml:space="preserve">Information about dividends paid for shares by company since the foundation date or during the last five financial years.</w:t>
                  </w:r>
                </w:p>
                <w:p>
                  <w:pPr>
                    <w:pStyle w:val="BodyText"/>
                  </w:pPr>
                  <w:pPr>
                    <w:pStyle w:val="ListParagraph"/>
                    <w:numPr>
                      <w:ilvl w:val="0"/>
                      <w:numId w:val="14"/>
                    </w:numPr>
                  </w:pPr>
                  <w:r>
                    <w:t xml:space="preserve">Information about earlier issued securities of the company.</w:t>
                  </w:r>
                </w:p>
                <w:p>
                  <w:pPr>
                    <w:pStyle w:val="BodyText"/>
                  </w:pPr>
                  <w:pPr>
                    <w:pStyle w:val="ListParagraph"/>
                    <w:numPr>
                      <w:ilvl w:val="0"/>
                      <w:numId w:val="14"/>
                    </w:numPr>
                  </w:pPr>
                  <w:r>
                    <w:t xml:space="preserve">General information concerning the issue of investment securities.</w:t>
                  </w:r>
                </w:p>
                <w:p>
                  <w:pPr>
                    <w:pStyle w:val="BodyText"/>
                  </w:pPr>
                  <w:pPr>
                    <w:pStyle w:val="ListParagraph"/>
                    <w:numPr>
                      <w:ilvl w:val="0"/>
                      <w:numId w:val="14"/>
                    </w:numPr>
                  </w:pPr>
                  <w:r>
                    <w:t xml:space="preserve">Distribution rules of investment securities.</w:t>
                  </w:r>
                </w:p>
                <w:p>
                  <w:pPr>
                    <w:pStyle w:val="BodyText"/>
                  </w:pPr>
                  <w:pPr>
                    <w:pStyle w:val="ListParagraph"/>
                    <w:numPr>
                      <w:ilvl w:val="0"/>
                      <w:numId w:val="14"/>
                    </w:numPr>
                  </w:pPr>
                  <w:r>
                    <w:t xml:space="preserve">Debts of the company and interest amounts to be paid.</w:t>
                  </w:r>
                </w:p>
                <w:p>
                  <w:pPr>
                    <w:pStyle w:val="BodyText"/>
                  </w:pPr>
                  <w:pPr>
                    <w:pStyle w:val="ListParagraph"/>
                    <w:numPr>
                      <w:ilvl w:val="0"/>
                      <w:numId w:val="14"/>
                    </w:numPr>
                  </w:pPr>
                  <w:r>
                    <w:t xml:space="preserve">Payment rules for investment securities.</w:t>
                  </w:r>
                </w:p>
                <w:p>
                  <w:pPr>
                    <w:pStyle w:val="BodyText"/>
                  </w:pPr>
                  <w:pPr>
                    <w:pStyle w:val="ListParagraph"/>
                    <w:numPr>
                      <w:ilvl w:val="0"/>
                      <w:numId w:val="14"/>
                    </w:numPr>
                  </w:pPr>
                  <w:r>
                    <w:t xml:space="preserve">Information concerning the professional participants of the securities market that issue investment securities.</w:t>
                  </w:r>
                </w:p>
                <w:p>
                  <w:pPr>
                    <w:pStyle w:val="BodyText"/>
                  </w:pPr>
                  <w:pPr>
                    <w:pStyle w:val="ListParagraph"/>
                    <w:numPr>
                      <w:ilvl w:val="0"/>
                      <w:numId w:val="14"/>
                    </w:numPr>
                  </w:pPr>
                  <w:r>
                    <w:t xml:space="preserve">Date and number of the resolution regarding securities' issuance and the name of the corporate body that issued such resolution.</w:t>
                  </w:r>
                </w:p>
                <w:p>
                  <w:pPr>
                    <w:pStyle w:val="BodyText"/>
                  </w:pPr>
                  <w:pPr>
                    <w:pStyle w:val="ListParagraph"/>
                    <w:numPr>
                      <w:ilvl w:val="0"/>
                      <w:numId w:val="14"/>
                    </w:numPr>
                  </w:pPr>
                  <w:r>
                    <w:t xml:space="preserve">Preference share rights.</w:t>
                  </w:r>
                </w:p>
                <w:p>
                  <w:pPr>
                    <w:pStyle w:val="BodyText"/>
                  </w:pPr>
                  <w:pPr>
                    <w:pStyle w:val="ListParagraph"/>
                    <w:numPr>
                      <w:ilvl w:val="0"/>
                      <w:numId w:val="14"/>
                    </w:numPr>
                  </w:pPr>
                  <w:r>
                    <w:t xml:space="preserve">Any limitations for purchase of investment securities.</w:t>
                  </w:r>
                </w:p>
                <w:p>
                  <w:pPr>
                    <w:pStyle w:val="BodyText"/>
                  </w:pPr>
                  <w:pPr>
                    <w:spacing w:after="220"/>
                  </w:pPr>
                  <w:r>
                    <w:t xml:space="preserve">The listing committee, which is formed by the supervisory council of the BSE, may request other information and documents that it deems necessary.</w:t>
                  </w:r>
                </w:p>
                <w:p>
                  <w:pPr>
                    <w:pStyle w:val="BodyText"/>
                  </w:pPr>
                  <w:r>
                    <w:rPr>
                      <w:i/>
                    </w:rPr>
                    <w:t xml:space="preserve">A</w:t>
                  </w:r>
                  <w:r>
                    <w:rPr>
                      <w:i/>
                    </w:rPr>
                    <w:t xml:space="preserve">pplication review</w:t>
                  </w:r>
                </w:p>
                <w:p>
                  <w:pPr>
                    <w:pStyle w:val="BodyText"/>
                  </w:pPr>
                  <w:pPr>
                    <w:spacing w:after="220"/>
                  </w:pPr>
                  <w:r>
                    <w:t xml:space="preserve">After receipt of all required documents, the listing committee of the BSE starts the process of their review and should issue its decision within ten business days, which period may be prolonged by an additional ten days. If deemed necessary by the listing committee of the BSE, the listing may be prolonged up to but no more than three months. </w:t>
                  </w:r>
                </w:p>
                <w:p>
                  <w:pPr>
                    <w:pStyle w:val="BodyText"/>
                  </w:pPr>
                  <w:pPr>
                    <w:spacing w:after="220"/>
                  </w:pPr>
                  <w:r>
                    <w:t xml:space="preserve">Within one business day after the decision on inclusion of securities into the listing is made, the listing commission should publish the relevant information (the prospectus and/or investment memorandum and financial statements of the issuer) on the BSE's website, unless the law requires otherwise.</w:t>
                  </w:r>
                </w:p>
                <w:p>
                  <w:pPr>
                    <w:pStyle w:val="BodyText"/>
                  </w:pPr>
                  <w:pPr>
                    <w:spacing w:after="220"/>
                  </w:pPr>
                  <w:r>
                    <w:t xml:space="preserve">Within two business days after the decision on inclusion of securities into the listing is made, the company is notified by the BSE and the listing agreement is concluded between the BSE and the company.</w:t>
                  </w:r>
                </w:p>
                <w:p>
                  <w:pPr>
                    <w:pStyle w:val="BodyText"/>
                  </w:pPr>
                  <w:pPr>
                    <w:spacing w:after="220"/>
                  </w:pPr>
                  <w:r>
                    <w:t xml:space="preserve">While the application is being considered by the BSE, the issuer should immediately report to the BSE any events which might affect the value of the securities and the decision of investors regarding operations related to securities.</w:t>
                  </w:r>
                </w:p>
                <w:p>
                  <w:pPr>
                    <w:pStyle w:val="BodyText"/>
                  </w:pPr>
                  <w:pPr>
                    <w:spacing w:after="220"/>
                  </w:pPr>
                  <w:r>
                    <w:t xml:space="preserve">Trading in the securities after the decision of the listing committee must commence within a maximum 60 business days.</w:t>
                  </w:r>
                </w:p>
                <w:p>
                  <w:pPr>
                    <w:pStyle w:val="BodyText"/>
                  </w:pPr>
                  <w:pPr>
                    <w:spacing w:after="220"/>
                  </w:pPr>
                  <w:r>
                    <w:t xml:space="preserve">The documentation and process requirements described in this section should be the same for foreign and domestic companies, </w:t>
                  </w:r>
                  <w:r>
                    <w:t xml:space="preserve">notwithstanding that </w:t>
                  </w:r>
                  <w:r>
                    <w:t xml:space="preserve">the application to list a foreign company on the BSE must be preceded by the issuance of a Certificate on Turnover of Securities of Foreign Issuers in the Republic of Azerbaijan by the CBA. The analysis in relation to the likelihood of foreign securities being listed in Azerbaijan, outlined in Section 1 above, should also be taken into account.</w:t>
                  </w:r>
                </w:p>
                <w:p>
                  <w:pPr>
                    <w:pStyle w:val="BodyText"/>
                  </w:pPr>
                  <w:r>
                    <w:rPr>
                      <w:i/>
                    </w:rPr>
                    <w:t xml:space="preserve">Typical process and timetable</w:t>
                  </w:r>
                </w:p>
                <w:p>
                  <w:pPr>
                    <w:pStyle w:val="BodyText"/>
                  </w:pPr>
                  <w:r>
                    <w:t xml:space="preserve">The following is a fairly typical process and timetable for a listing of a company on the BSE. </w:t>
                  </w:r>
                  <w:r>
                    <w:t xml:space="preserve"> </w:t>
                  </w:r>
                </w:p>
                <w:p>
                  <w:pPr>
                    <w:pStyle w:val="BodyText"/>
                  </w:pPr>
                  <w:hyperlink w:history="true" r:id="R1709a780372843e4">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2022, unless otherwise noted]</w:t>
                  </w:r>
                </w:p>
                <w:p>
                  <w:pPr>
                    <w:pStyle w:val="BodyText"/>
                  </w:pPr>
                  <w:r>
                    <w:t xml:space="preserve">A BSE-listed company has disclosure and reporting obligations related to periodic financial reports and disclosure of certain important events.</w:t>
                  </w:r>
                </w:p>
                <w:p>
                  <w:pPr>
                    <w:pStyle w:val="BodyText"/>
                  </w:pPr>
                  <w:r>
                    <w:rPr>
                      <w:i/>
                    </w:rPr>
                    <w:t xml:space="preserve">Financial reporting</w:t>
                  </w:r>
                </w:p>
                <w:p>
                  <w:pPr>
                    <w:pStyle w:val="BodyText"/>
                  </w:pPr>
                  <w:r>
                    <w:t xml:space="preserve">The company must provide and publish on its website its semi-annual and quarterly financial statements, prepared in accordance with IFRS (in the case of a listing on the primary market) or IFRS/local GAAP (in the case of a listing on the secondary and alternative markets) and other information as required by the Rules. The BSE has the right to publish the financial statements of the company via its own resources (including its website).</w:t>
                  </w:r>
                </w:p>
                <w:p>
                  <w:pPr>
                    <w:pStyle w:val="BodyText"/>
                  </w:pPr>
                  <w:r>
                    <w:rPr>
                      <w:i/>
                    </w:rPr>
                    <w:t xml:space="preserve">Disclosure of important events in the primary and standard markets</w:t>
                  </w:r>
                </w:p>
                <w:p>
                  <w:pPr>
                    <w:pStyle w:val="BodyText"/>
                  </w:pPr>
                  <w:r>
                    <w:t xml:space="preserve">The companies which are listed in the primary and standard markets must notify the BSE, within three business days, of the occurrence of any of the following events:</w:t>
                  </w:r>
                </w:p>
                <w:p>
                  <w:pPr>
                    <w:pStyle w:val="BodyText"/>
                  </w:pPr>
                  <w:pPr>
                    <w:pStyle w:val="ListParagraph"/>
                    <w:numPr>
                      <w:ilvl w:val="0"/>
                      <w:numId w:val="11"/>
                    </w:numPr>
                  </w:pPr>
                  <w:r>
                    <w:t xml:space="preserve">Alteration or suspension of the activities, or important changes in the carrying out of main activities.</w:t>
                  </w:r>
                </w:p>
                <w:p>
                  <w:pPr>
                    <w:pStyle w:val="BodyText"/>
                  </w:pPr>
                  <w:pPr>
                    <w:pStyle w:val="ListParagraph"/>
                    <w:numPr>
                      <w:ilvl w:val="0"/>
                      <w:numId w:val="11"/>
                    </w:numPr>
                  </w:pPr>
                  <w:r>
                    <w:t xml:space="preserve">Significant changes in the accounting policies, supervisory council or the management board.</w:t>
                  </w:r>
                </w:p>
                <w:p>
                  <w:pPr>
                    <w:pStyle w:val="BodyText"/>
                  </w:pPr>
                  <w:pPr>
                    <w:pStyle w:val="ListParagraph"/>
                    <w:numPr>
                      <w:ilvl w:val="0"/>
                      <w:numId w:val="11"/>
                    </w:numPr>
                  </w:pPr>
                  <w:r>
                    <w:t xml:space="preserve">Supply of new goods and services that affect the company's business operations and financial results.</w:t>
                  </w:r>
                </w:p>
                <w:p>
                  <w:pPr>
                    <w:pStyle w:val="BodyText"/>
                  </w:pPr>
                  <w:pPr>
                    <w:pStyle w:val="ListParagraph"/>
                    <w:numPr>
                      <w:ilvl w:val="0"/>
                      <w:numId w:val="11"/>
                    </w:numPr>
                  </w:pPr>
                  <w:r>
                    <w:t xml:space="preserve">Purchase and sale of the controlling interest in another company.</w:t>
                  </w:r>
                </w:p>
                <w:p>
                  <w:pPr>
                    <w:pStyle w:val="BodyText"/>
                  </w:pPr>
                  <w:pPr>
                    <w:pStyle w:val="ListParagraph"/>
                    <w:numPr>
                      <w:ilvl w:val="0"/>
                      <w:numId w:val="11"/>
                    </w:numPr>
                  </w:pPr>
                  <w:r>
                    <w:t xml:space="preserve">Conclusion of any agreement exceeding 25% of the value of the company's net assets or any agreement that may affect the company's business operations.</w:t>
                  </w:r>
                </w:p>
                <w:p>
                  <w:pPr>
                    <w:pStyle w:val="BodyText"/>
                  </w:pPr>
                  <w:pPr>
                    <w:pStyle w:val="ListParagraph"/>
                    <w:numPr>
                      <w:ilvl w:val="0"/>
                      <w:numId w:val="11"/>
                    </w:numPr>
                  </w:pPr>
                  <w:r>
                    <w:t xml:space="preserve">Investigation by state authorities or courts affecting at least 10% of the company's equity.</w:t>
                  </w:r>
                </w:p>
                <w:p>
                  <w:pPr>
                    <w:pStyle w:val="BodyText"/>
                  </w:pPr>
                  <w:pPr>
                    <w:pStyle w:val="ListParagraph"/>
                    <w:numPr>
                      <w:ilvl w:val="0"/>
                      <w:numId w:val="11"/>
                    </w:numPr>
                  </w:pPr>
                  <w:r>
                    <w:t xml:space="preserve">Dismissal plans affecting at least 15% of the workforce.</w:t>
                  </w:r>
                </w:p>
                <w:p>
                  <w:pPr>
                    <w:pStyle w:val="BodyText"/>
                  </w:pPr>
                  <w:pPr>
                    <w:pStyle w:val="ListParagraph"/>
                    <w:numPr>
                      <w:ilvl w:val="0"/>
                      <w:numId w:val="11"/>
                    </w:numPr>
                  </w:pPr>
                  <w:r>
                    <w:t xml:space="preserve">Significant differences between the quarterly forecasts and results.</w:t>
                  </w:r>
                </w:p>
                <w:p>
                  <w:pPr>
                    <w:pStyle w:val="BodyText"/>
                  </w:pPr>
                  <w:pPr>
                    <w:pStyle w:val="ListParagraph"/>
                    <w:numPr>
                      <w:ilvl w:val="0"/>
                      <w:numId w:val="11"/>
                    </w:numPr>
                  </w:pPr>
                  <w:r>
                    <w:t xml:space="preserve">Purchase, suspension and cancellation of patents, licenses and trademarks.</w:t>
                  </w:r>
                </w:p>
                <w:p>
                  <w:pPr>
                    <w:pStyle w:val="BodyText"/>
                  </w:pPr>
                  <w:pPr>
                    <w:pStyle w:val="ListParagraph"/>
                    <w:numPr>
                      <w:ilvl w:val="0"/>
                      <w:numId w:val="11"/>
                    </w:numPr>
                  </w:pPr>
                  <w:r>
                    <w:t xml:space="preserve">Reorganization and liquidation of the issuer.</w:t>
                  </w:r>
                </w:p>
                <w:p>
                  <w:pPr>
                    <w:pStyle w:val="BodyText"/>
                  </w:pPr>
                  <w:pPr>
                    <w:pStyle w:val="ListParagraph"/>
                    <w:numPr>
                      <w:ilvl w:val="0"/>
                      <w:numId w:val="11"/>
                    </w:numPr>
                  </w:pPr>
                  <w:r>
                    <w:t xml:space="preserve">Disclosure of transactions with related parties (in accordance with laws and regulations).</w:t>
                  </w:r>
                </w:p>
                <w:p>
                  <w:pPr>
                    <w:pStyle w:val="BodyText"/>
                  </w:pPr>
                  <w:pPr>
                    <w:pStyle w:val="ListParagraph"/>
                    <w:numPr>
                      <w:ilvl w:val="0"/>
                      <w:numId w:val="11"/>
                    </w:numPr>
                  </w:pPr>
                  <w:r>
                    <w:t xml:space="preserve">Changes in the equity capital of the company or its parent or subsidiary companies.</w:t>
                  </w:r>
                </w:p>
                <w:p>
                  <w:pPr>
                    <w:pStyle w:val="BodyText"/>
                  </w:pPr>
                  <w:pPr>
                    <w:pStyle w:val="ListParagraph"/>
                    <w:numPr>
                      <w:ilvl w:val="0"/>
                      <w:numId w:val="11"/>
                    </w:numPr>
                  </w:pPr>
                  <w:r>
                    <w:t xml:space="preserve">Changes in the financing sources.</w:t>
                  </w:r>
                </w:p>
                <w:p>
                  <w:pPr>
                    <w:pStyle w:val="BodyText"/>
                  </w:pPr>
                  <w:pPr>
                    <w:pStyle w:val="ListParagraph"/>
                    <w:numPr>
                      <w:ilvl w:val="0"/>
                      <w:numId w:val="11"/>
                    </w:numPr>
                  </w:pPr>
                  <w:r>
                    <w:t xml:space="preserve">Issue of new securities, or withdrawal of securities from circulation.</w:t>
                  </w:r>
                </w:p>
                <w:p>
                  <w:pPr>
                    <w:pStyle w:val="BodyText"/>
                  </w:pPr>
                  <w:pPr>
                    <w:pStyle w:val="ListParagraph"/>
                    <w:numPr>
                      <w:ilvl w:val="0"/>
                      <w:numId w:val="11"/>
                    </w:numPr>
                  </w:pPr>
                  <w:r>
                    <w:t xml:space="preserve">Changes of rights established with respect to issued securities.</w:t>
                  </w:r>
                </w:p>
                <w:p>
                  <w:pPr>
                    <w:pStyle w:val="BodyText"/>
                  </w:pPr>
                  <w:pPr>
                    <w:pStyle w:val="ListParagraph"/>
                    <w:numPr>
                      <w:ilvl w:val="0"/>
                      <w:numId w:val="11"/>
                    </w:numPr>
                  </w:pPr>
                  <w:r>
                    <w:t xml:space="preserve">Early execution, late execution or non-execution of payments for listed securities.</w:t>
                  </w:r>
                </w:p>
                <w:p>
                  <w:pPr>
                    <w:pStyle w:val="BodyText"/>
                  </w:pPr>
                  <w:pPr>
                    <w:pStyle w:val="ListParagraph"/>
                    <w:numPr>
                      <w:ilvl w:val="0"/>
                      <w:numId w:val="11"/>
                    </w:numPr>
                  </w:pPr>
                  <w:r>
                    <w:t xml:space="preserve">Sale and purchase of at least 5% of the company's shares.</w:t>
                  </w:r>
                </w:p>
                <w:p>
                  <w:pPr>
                    <w:pStyle w:val="BodyText"/>
                  </w:pPr>
                  <w:pPr>
                    <w:pStyle w:val="ListParagraph"/>
                    <w:numPr>
                      <w:ilvl w:val="0"/>
                      <w:numId w:val="11"/>
                    </w:numPr>
                  </w:pPr>
                  <w:r>
                    <w:t xml:space="preserve">Appeals of resolutions of the general meeting of shareholders to the court.</w:t>
                  </w:r>
                </w:p>
                <w:p>
                  <w:pPr>
                    <w:pStyle w:val="BodyText"/>
                  </w:pPr>
                  <w:pPr>
                    <w:pStyle w:val="ListParagraph"/>
                    <w:numPr>
                      <w:ilvl w:val="0"/>
                      <w:numId w:val="11"/>
                    </w:numPr>
                  </w:pPr>
                  <w:r>
                    <w:t xml:space="preserve">Events that may affect the market price or profitability of the securities.</w:t>
                  </w:r>
                </w:p>
                <w:p>
                  <w:pPr>
                    <w:pStyle w:val="BodyText"/>
                  </w:pPr>
                  <w:r>
                    <w:t xml:space="preserve">The BSE may also request the company to disclose to the exchange and/or the public any other information that the BSE may deem important for the protection of public interests and investors' rights.</w:t>
                  </w:r>
                </w:p>
                <w:p>
                  <w:pPr>
                    <w:pStyle w:val="BodyText"/>
                  </w:pPr>
                  <w:r>
                    <w:rPr>
                      <w:i/>
                    </w:rPr>
                    <w:t xml:space="preserve">Disclosure of information in the alternative market</w:t>
                  </w:r>
                </w:p>
                <w:p>
                  <w:pPr>
                    <w:pStyle w:val="BodyText"/>
                  </w:pPr>
                  <w:r>
                    <w:t xml:space="preserve">The companies listed on the alternative market must notify and provide the BSE documents pertaining to the following items:</w:t>
                  </w:r>
                </w:p>
                <w:p>
                  <w:pPr>
                    <w:pStyle w:val="BodyText"/>
                  </w:pPr>
                  <w:pPr>
                    <w:pStyle w:val="ListParagraph"/>
                    <w:numPr>
                      <w:ilvl w:val="0"/>
                      <w:numId w:val="12"/>
                    </w:numPr>
                  </w:pPr>
                  <w:r>
                    <w:t xml:space="preserve">The company's bond repayments and payment of interests.</w:t>
                  </w:r>
                </w:p>
                <w:p>
                  <w:pPr>
                    <w:pStyle w:val="BodyText"/>
                  </w:pPr>
                  <w:pPr>
                    <w:pStyle w:val="ListParagraph"/>
                    <w:numPr>
                      <w:ilvl w:val="0"/>
                      <w:numId w:val="12"/>
                    </w:numPr>
                  </w:pPr>
                  <w:r>
                    <w:t xml:space="preserve">Dividends, if established as a joint stock company.</w:t>
                  </w:r>
                </w:p>
                <w:p>
                  <w:pPr>
                    <w:pStyle w:val="BodyText"/>
                  </w:pPr>
                  <w:pPr>
                    <w:pStyle w:val="ListParagraph"/>
                    <w:numPr>
                      <w:ilvl w:val="0"/>
                      <w:numId w:val="12"/>
                    </w:numPr>
                  </w:pPr>
                  <w:r>
                    <w:t xml:space="preserve">Company's annual financial statements.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2022, unless otherwise noted]</w:t>
                  </w:r>
                </w:p>
                <w:p>
                  <w:pPr>
                    <w:pStyle w:val="BodyText"/>
                  </w:pPr>
                  <w:r>
                    <w:t xml:space="preserve">The corporate governance requirements for a listed company are outlined in the chart in section 2 of this chapter under the title </w:t>
                  </w:r>
                  <w:r>
                    <w:rPr>
                      <w:i/>
                    </w:rPr>
                    <w:t xml:space="preserve">Equity market listing requirements</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2022, unless otherwise noted]</w:t>
                  </w:r>
                </w:p>
                <w:p>
                  <w:pPr>
                    <w:pStyle w:val="BodyText"/>
                  </w:pPr>
                  <w:r>
                    <w:t xml:space="preserve">The Rules list special requirements for debt securities issued by international financial institutions where Azerbaijan is a member. According to the Rules, such debt securities are automatically accepted to the primary market. There are no additional or special requirements applicable for multinational companies or to smaller companies. There are no industries for which the normal listing or maintenance rules do not apply, or apply only in modified form, or for which additional listing or maintenance requirements apply.</w:t>
                  </w:r>
                </w:p>
                <w:p>
                  <w:pPr>
                    <w:pStyle w:val="BodyText"/>
                  </w:pPr>
                  <w:r>
                    <w:t xml:space="preserve">There is no "fast track" or expedited listing at the BSE.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2022, unless otherwise noted]</w:t>
                  </w:r>
                </w:p>
                <w:p>
                  <w:pPr>
                    <w:pStyle w:val="BodyText"/>
                  </w:pPr>
                  <w:r>
                    <w:t xml:space="preserve">The current listing rules and regulations do not require a foreign issuer to maintain any presence in Azerbaijan. A foreign issuer is not obligated to keep any corporate records in Azerbaijan in order to be eligible to list/circulate securities in Azerbaijan.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There are no initial fees associated with a listing on the BSE.</w:t>
                  </w:r>
                </w:p>
                <w:p>
                  <w:pPr>
                    <w:pStyle w:val="BodyText"/>
                  </w:pPr>
                  <w:pPr>
                    <w:spacing w:after="220"/>
                  </w:pPr>
                  <w:r>
                    <w:t xml:space="preserve">The annual fee is</w:t>
                  </w:r>
                  <w:r>
                    <w:rPr>
                      <w:color w:val="000000"/>
                    </w:rPr>
                    <w:t xml:space="preserve"> calculated as below:</w:t>
                  </w:r>
                </w:p>
                <w:p>
                  <w:pPr>
                    <w:pStyle w:val="BodyText"/>
                  </w:pPr>
                  <w:pPr>
                    <w:pStyle w:val="ListParagraph"/>
                    <w:numPr>
                      <w:ilvl w:val="0"/>
                      <w:numId w:val="10"/>
                    </w:numPr>
                  </w:pPr>
                  <w:r>
                    <w:t xml:space="preserve">AZN1,000 (approximately US$588) for the primary market</w:t>
                  </w:r>
                </w:p>
                <w:p>
                  <w:pPr>
                    <w:pStyle w:val="BodyText"/>
                  </w:pPr>
                  <w:pPr>
                    <w:pStyle w:val="ListParagraph"/>
                    <w:numPr>
                      <w:ilvl w:val="0"/>
                      <w:numId w:val="10"/>
                    </w:numPr>
                  </w:pPr>
                  <w:r>
                    <w:t xml:space="preserve">AZN500 (approximately US$294) for the standard market</w:t>
                  </w:r>
                </w:p>
                <w:p>
                  <w:pPr>
                    <w:pStyle w:val="BodyText"/>
                  </w:pPr>
                  <w:pPr>
                    <w:spacing w:after="220"/>
                  </w:pPr>
                  <w:r>
                    <w:t xml:space="preserve">State-guaranteed bonds issued by the municipalities, local authorities and other public bodies and the Azerbaijan Mortgage and Credit Guarantee Fund are exempted from annual fees. Zero-risk or risk-free bonds in accordance with the principles of Basel II, recommended by the Basel Committee on Banking Supervision, and open joint stock companies of which at least 51% of shares are owned by the Republic of Azerbaijan are also exempted from annual fees. </w:t>
                  </w:r>
                </w:p>
                <w:p>
                  <w:pPr>
                    <w:pStyle w:val="BodyText"/>
                  </w:pPr>
                  <w:pPr>
                    <w:spacing w:after="220"/>
                  </w:pPr>
                  <w:r>
                    <w:t xml:space="preserve">Tariffs do not apply to the Central Bank of the Republic of Azerbaijan and the Ministry of Finance of the Republic of Azerbaijan. </w:t>
                  </w:r>
                </w:p>
                <w:p>
                  <w:pPr>
                    <w:pStyle w:val="BodyText"/>
                  </w:pPr>
                  <w:pPr>
                    <w:spacing w:after="220"/>
                  </w:pPr>
                  <w:r>
                    <w:t xml:space="preserve">In accordance with the decision of the Supervisory Board of the Baku Stock Exchange, issuers of shares listed for the first time through the public offering method, still listed as at 31 December 2023, are exempted from the listing service fee for that period.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2022, unless otherwise noted]</w:t>
                  </w:r>
                </w:p>
                <w:p>
                  <w:pPr>
                    <w:pStyle w:val="BodyText"/>
                  </w:pPr>
                  <w:r>
                    <w:t xml:space="preserve">All documents submitted to the BSE and the CBA must be in Azerbaijani. The BSE and the CBA may waive this requirement on a case-by-case basis at their sole discretion.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Adam Farlow in the London office is the most appropriate contact for inquiries about prospective listings on the BSE.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0"/>
    <w:lvlOverride w:ilvl="0">
      <w:startOverride w:val="1"/>
    </w:lvlOverride>
  </w:num>
  <w:num w:numId="19">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bakulisting-documentation-and-process.pdf?rev=dc73ff94d7754e1a8f9985b5dbd2fc7c" TargetMode="External" Id="R1709a780372843e4" /><Relationship Type="http://schemas.openxmlformats.org/officeDocument/2006/relationships/hyperlink" Target="https://resourcehub.bakermckenzie.com/en/-/media/crossborder-listings-handbook/files/2024-update-10th-edition/baku-stock-exchange---principal-listings.pdf?rev=5b14245e14094083b4293612de93bfc9&amp;sc_lang=en" TargetMode="External" Id="Rf4984f5a0c8a4d35" /><Relationship Type="http://schemas.openxmlformats.org/officeDocument/2006/relationships/hyperlink" Target="https://resourcehub.bakermckenzie.com/en/-/media/crossborder-listings-handbook/files/2020-update-8th-edition/bakulisting-process.pdf?rev=d9d2d9dcf27444959a22a7130b24bd13" TargetMode="External" Id="R261a086bae71418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