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662603" w:rsidRDefault="009E2793" w14:paraId="5605F879" w14:textId="4259CC65">
      <w:pPr>
        <w:pStyle w:val="Subtitle"/>
      </w:pPr>
      <w:r w:rsidRPr="00BC7873">
        <w:t>Global Public M&amp;A Guide - Italy</w:t>
      </w:r>
    </w:p>
    <w:p w:rsidRPr="006F092A" w:rsidR="006F092A" w:rsidP="006F092A" w:rsidRDefault="00761F2A" w14:paraId="47A10C22" w14:textId="3415D899">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6C0569" w:rsidTr="00E702F0" w14:paraId="2827400E" w14:textId="77777777">
        <w:trPr>
          <w:tblHeader/>
        </w:trPr>
        <w:tc>
          <w:tcPr>
            <w:tcW w:w="8990" w:type="dxa"/>
          </w:tcPr>
          <w:p w:rsidR="006C0569" w:rsidP="00E702F0" w:rsidRDefault="006C0569" w14:paraId="613422C8" w14:textId="77777777">
            <w:pPr>
              <w:pStyle w:val="TOCHeading"/>
              <w:spacing w:after="160"/>
            </w:pPr>
            <w:r>
              <w:lastRenderedPageBreak/>
              <w:t>Contents</w:t>
            </w:r>
          </w:p>
        </w:tc>
      </w:tr>
      <w:tr w:rsidR="006C0569" w:rsidTr="00E702F0" w14:paraId="63FB350D"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6C0569" w:rsidP="00E702F0" w:rsidRDefault="006C0569" w14:paraId="04D1140F"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295F49DA">
      <w:r>
        <w:br w:type="page"/>
      </w:r>
    </w:p>
    <w:sdt>
      <w:sdtPr>
        <w:rPr>
          <w:rFonts w:eastAsiaTheme="minorHAnsi" w:cstheme="minorBidi"/>
          <w:b w:val="0"/>
          <w:color w:val="auto"/>
          <w:sz w:val="20"/>
          <w:szCs w:val="22"/>
        </w:rPr>
        <w:id w:val="-1863039157"/>
        <w:placeholder>
          <w:docPart w:val="DefaultPlaceholder_-1854013435"/>
        </w:placeholder>
        <w15:repeatingSectionItem/>
      </w:sdtPr>
      <w:sdtEndPr/>
      <w:sdtContent>
        <w:p>
          <w:pPr>
            <w:pStyle w:val="BodyText"/>
          </w:pPr>
          <w:r>
            <w:rPr>
              <w:i/>
            </w:rPr>
            <w:t xml:space="preserve">This content was last reviewed around January 2025.</w:t>
          </w:r>
        </w:p>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Overview</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1. Overview</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January 2025, unless otherwise noted]</w:t>
                  </w:r>
                </w:p>
                <w:p>
                  <w:pPr>
                    <w:pStyle w:val="BodyText"/>
                  </w:pPr>
                  <w:r>
                    <w:t xml:space="preserve">The Italian takeover market is well established and developed, with a strong regulatory framework built around EU legislation. The market is vibrant, with 20 takeover bids launched and completed in 2023 (out of which, 13 on voluntary basis and 7 on a mandatory basis) for a total value of EUR 1,923 million (</w:t>
                  </w:r>
                  <w:r>
                    <w:rPr>
                      <w:i/>
                    </w:rPr>
                    <w:t xml:space="preserve">source</w:t>
                  </w:r>
                  <w:r>
                    <w:t xml:space="preserve">: Commissione Nazionale per le Società e la Borsa).</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General Legal Framework</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2. General Legal Framework</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January 2025, unless otherwise noted]</w:t>
                  </w:r>
                </w:p>
                <w:p>
                  <w:pPr>
                    <w:pStyle w:val="BodyText"/>
                  </w:pPr>
                  <w:r>
                    <w:rPr>
                      <w:b/>
                    </w:rPr>
                    <w:t xml:space="preserve">2.1 Main legal framework</w:t>
                  </w:r>
                </w:p>
                <w:p>
                  <w:pPr>
                    <w:pStyle w:val="BodyText"/>
                  </w:pPr>
                  <w:r>
                    <w:t xml:space="preserve">The main rules and principles of Italian law relating to public takeover bids can be found in:</w:t>
                  </w:r>
                </w:p>
                <w:p>
                  <w:pPr>
                    <w:pStyle w:val="BodyText"/>
                  </w:pPr>
                  <w:pPr>
                    <w:pStyle w:val="ListParagraph"/>
                    <w:numPr>
                      <w:ilvl w:val="0"/>
                      <w:numId w:val="46"/>
                    </w:numPr>
                  </w:pPr>
                  <w:r>
                    <w:t xml:space="preserve">Legislative Decree No. 58, dated 24 February 1998, as amended and supplemented from time to time (the Italian Financial Act – "</w:t>
                  </w:r>
                  <w:r>
                    <w:rPr>
                      <w:b/>
                    </w:rPr>
                    <w:t xml:space="preserve">IFA</w:t>
                  </w:r>
                  <w:r>
                    <w:t xml:space="preserve">"), Sections 101-</w:t>
                  </w:r>
                  <w:r>
                    <w:rPr>
                      <w:i/>
                    </w:rPr>
                    <w:t xml:space="preserve">bis</w:t>
                  </w:r>
                  <w:r>
                    <w:t xml:space="preserve"> - 112; and</w:t>
                  </w:r>
                </w:p>
                <w:p>
                  <w:pPr>
                    <w:pStyle w:val="BodyText"/>
                  </w:pPr>
                  <w:pPr>
                    <w:pStyle w:val="ListParagraph"/>
                    <w:numPr>
                      <w:ilvl w:val="0"/>
                      <w:numId w:val="46"/>
                    </w:numPr>
                  </w:pPr>
                  <w:r>
                    <w:t xml:space="preserve">Resolution of the Italian Securities and Exchange Commission (</w:t>
                  </w:r>
                  <w:r>
                    <w:rPr>
                      <w:i/>
                    </w:rPr>
                    <w:t xml:space="preserve">Commissione Nazionale per le Società e la Borsa </w:t>
                  </w:r>
                  <w:r>
                    <w:t xml:space="preserve">or "</w:t>
                  </w:r>
                  <w:r>
                    <w:rPr>
                      <w:b/>
                    </w:rPr>
                    <w:t xml:space="preserve">CONSOB</w:t>
                  </w:r>
                  <w:r>
                    <w:t xml:space="preserve">") No. 11971, dated 14 May 1999, implementing the IFA, as amended and supplemented from time to time ("</w:t>
                  </w:r>
                  <w:r>
                    <w:rPr>
                      <w:b/>
                    </w:rPr>
                    <w:t xml:space="preserve">CONSOB Resolution No. 11971/99</w:t>
                  </w:r>
                  <w:r>
                    <w:t xml:space="preserve">"), Sections 35 -50-</w:t>
                  </w:r>
                  <w:r>
                    <w:rPr>
                      <w:i/>
                    </w:rPr>
                    <w:t xml:space="preserve">quinquies</w:t>
                  </w:r>
                  <w:r>
                    <w:t xml:space="preserve">.</w:t>
                  </w:r>
                </w:p>
                <w:p>
                  <w:pPr>
                    <w:pStyle w:val="BodyText"/>
                  </w:pPr>
                  <w:r>
                    <w:t xml:space="preserve">The main body of the Italian takeover legislation is based on Directive 2004/25/EC of the European Parliament and of the Council of 21 April 2004 on takeover bids ("</w:t>
                  </w:r>
                  <w:r>
                    <w:rPr>
                      <w:b/>
                    </w:rPr>
                    <w:t xml:space="preserve">Takeover Directive</w:t>
                  </w:r>
                  <w:r>
                    <w:t xml:space="preserve">"). This directive was aimed at harmonizing the rules on public takeover bids of the different Member States of the European Economic Area ("</w:t>
                  </w:r>
                  <w:r>
                    <w:rPr>
                      <w:b/>
                    </w:rPr>
                    <w:t xml:space="preserve">EEA</w:t>
                  </w:r>
                  <w:r>
                    <w:t xml:space="preserve">"). Having said this, the Takeover Directive still allows Member States to take different approaches in connection with some important features of a public takeover bid (such as the percentage of securities that, upon acquisition, triggers a mandatory public takeover bid on the remaining securities of the target company and restrictions to the power of the board of directors of the target company in connection with the takeover bid). Accordingly, there are still significant differences in the national rules of the respective Member States of the EEA regarding public takeover bids.</w:t>
                  </w:r>
                </w:p>
                <w:p>
                  <w:pPr>
                    <w:pStyle w:val="BodyText"/>
                  </w:pPr>
                  <w:r>
                    <w:rPr>
                      <w:b/>
                    </w:rPr>
                    <w:t xml:space="preserve">2.2 Other rules and principles</w:t>
                  </w:r>
                </w:p>
                <w:p>
                  <w:pPr>
                    <w:pStyle w:val="BodyText"/>
                  </w:pPr>
                  <w:r>
                    <w:t xml:space="preserve">While the aforementioned legislation contains the main legal framework for public takeover bids in Italy, there are a number of additional rules and principles that are to be taken into account when preparing or conducting a public takeover bid, including, most notably:</w:t>
                  </w:r>
                </w:p>
                <w:p>
                  <w:pPr>
                    <w:pStyle w:val="BodyText"/>
                  </w:pPr>
                  <w:r>
                    <w:t xml:space="preserve">the rules relating to the disclosure of significant shareholdings in listed companies (the so-called 'transparency rules'). These rules are based on Directive 2004/109/EC of the European Parliament and of the Council of 15 December 2004, on the harmonization of transparency requirements in relation to information on issuers having securities admitted to trading on a regulated market, as amended and supplemented from time to time, and related EU legislation. For further information, see under 3.4 below;</w:t>
                  </w:r>
                </w:p>
                <w:p>
                  <w:pPr>
                    <w:pStyle w:val="BodyText"/>
                  </w:pPr>
                  <w:pPr>
                    <w:pStyle w:val="ListParagraph"/>
                    <w:numPr>
                      <w:ilvl w:val="0"/>
                      <w:numId w:val="47"/>
                    </w:numPr>
                  </w:pPr>
                  <w:r>
                    <w:t xml:space="preserve">the rules relating to insider trading and market manipulation (the so-called 'market abuse rules'). These rules are mainly derived from Regulation (EU) No. 596/2014 of the European Parliament and of the Council of 16 April 2014 on market abuse ("</w:t>
                  </w:r>
                  <w:r>
                    <w:rPr>
                      <w:b/>
                    </w:rPr>
                    <w:t xml:space="preserve">Market Abuse Regulation</w:t>
                  </w:r>
                  <w:r>
                    <w:t xml:space="preserve">") as well as Directive 2014/57/ EU of the European Parliament and of the Council of 16 April 2014 on criminal sanctions for market abuse ("</w:t>
                  </w:r>
                  <w:r>
                    <w:rPr>
                      <w:b/>
                    </w:rPr>
                    <w:t xml:space="preserve">Market Abuse Directive II</w:t>
                  </w:r>
                  <w:r>
                    <w:t xml:space="preserve">"), each as amended and supplemented from time to time, and related EU legislation. For further information, see under 6.3 below;</w:t>
                  </w:r>
                </w:p>
                <w:p>
                  <w:pPr>
                    <w:pStyle w:val="BodyText"/>
                  </w:pPr>
                  <w:pPr>
                    <w:pStyle w:val="ListParagraph"/>
                    <w:numPr>
                      <w:ilvl w:val="0"/>
                      <w:numId w:val="47"/>
                    </w:numPr>
                  </w:pPr>
                  <w:r>
                    <w:t xml:space="preserve">the rules relating to the public offer of securities and the admission to trading of securities on a regulated market. These rules would be relevant in circumstances where the consideration offered in the public takeover bid consists of securities. These rules are mainly derived from Regulation (EU) 2017/1129 of the European Parliament and of the Council of 14 June 2017, as amended and supplemented from time to time, and related EU legislation;</w:t>
                  </w:r>
                </w:p>
                <w:p>
                  <w:pPr>
                    <w:pStyle w:val="BodyText"/>
                  </w:pPr>
                  <w:pPr>
                    <w:pStyle w:val="ListParagraph"/>
                    <w:numPr>
                      <w:ilvl w:val="0"/>
                      <w:numId w:val="47"/>
                    </w:numPr>
                  </w:pPr>
                  <w:r>
                    <w:t xml:space="preserve">the general rules on the supervision and control of the financial markets; and</w:t>
                  </w:r>
                </w:p>
                <w:p>
                  <w:pPr>
                    <w:pStyle w:val="BodyText"/>
                  </w:pPr>
                  <w:pPr>
                    <w:pStyle w:val="ListParagraph"/>
                    <w:numPr>
                      <w:ilvl w:val="0"/>
                      <w:numId w:val="47"/>
                    </w:numPr>
                  </w:pPr>
                  <w:r>
                    <w:t xml:space="preserve">the rules and regulations regarding merger control. These rules and regulations are not further discussed herein.</w:t>
                  </w:r>
                </w:p>
                <w:p>
                  <w:pPr>
                    <w:pStyle w:val="BodyText"/>
                  </w:pPr>
                  <w:r>
                    <w:t xml:space="preserve">It is also worth mentioning that the Law Decree No. 91 dated 24 June 2014 ("</w:t>
                  </w:r>
                  <w:r>
                    <w:rPr>
                      <w:b/>
                    </w:rPr>
                    <w:t xml:space="preserve">2014 Competitiveness Decree</w:t>
                  </w:r>
                  <w:r>
                    <w:t xml:space="preserve">"), introduced, among other things, the option for Italian listed companies to grant increased voting rights (up to two votes per share) to shares that are kept for a minimum holding period of at least 24 consecutive months ("</w:t>
                  </w:r>
                  <w:r>
                    <w:rPr>
                      <w:b/>
                    </w:rPr>
                    <w:t xml:space="preserve">Increased Voting Rights Shares</w:t>
                  </w:r>
                  <w:r>
                    <w:t xml:space="preserve">"). The legal framework relating to the Increased Voting Rights Shares was subsequently amended by the Law No. 21 of 5 March 2024, which provided that the bylaws may also grant one additional increased voting right for each twelve-month period, following the first 24 consecutive months, during which shares are kept by the same holder, up to a maximum of ten additional increased voting rights per share. In the context of takeover bids, if Increased Voting Rights Shares are outstanding, then the thresholds referred in 3.1 below must be read as referring to the aggregate number of voting rights attaching to the shares held by the relevant shareholder (rather than to the mere percentage of the voting stock held). In other words, if Increased Voting Rights Shares are outstanding, the profile to be looked at for the purposes of takeover regulation is given by the actual voting powers exercisable by the shareholder and not by the mere arithmetic participation to the share capital of a listed company.</w:t>
                  </w:r>
                </w:p>
                <w:p>
                  <w:pPr>
                    <w:pStyle w:val="BodyText"/>
                  </w:pPr>
                  <w:r>
                    <w:rPr>
                      <w:b/>
                    </w:rPr>
                    <w:t xml:space="preserve">2.3 Supervision and enforcement by CONSOB</w:t>
                  </w:r>
                </w:p>
                <w:p>
                  <w:pPr>
                    <w:pStyle w:val="BodyText"/>
                  </w:pPr>
                  <w:r>
                    <w:t xml:space="preserve">Public takeover bids are subject to the supervision and control of CONSOB, which is the securities regulator in Italy.</w:t>
                  </w:r>
                </w:p>
                <w:p>
                  <w:pPr>
                    <w:pStyle w:val="BodyText"/>
                  </w:pPr>
                  <w:r>
                    <w:t xml:space="preserve">CONSOB has significant powers aimed at ensuring compliance with the public takeover bid rules, including the power to impose administrative fines. In case of non-compliance, criminal penalties may be imposed by the courts.</w:t>
                  </w:r>
                </w:p>
                <w:p>
                  <w:pPr>
                    <w:pStyle w:val="BodyText"/>
                  </w:pPr>
                  <w:r>
                    <w:t xml:space="preserve">CONSOB also has the power (in certain cases) to grant exemptions from the rules that would otherwise apply to a public takeover bid.</w:t>
                  </w:r>
                </w:p>
                <w:p>
                  <w:pPr>
                    <w:pStyle w:val="BodyText"/>
                  </w:pPr>
                  <w:r>
                    <w:rPr>
                      <w:b/>
                    </w:rPr>
                    <w:t xml:space="preserve">2.4 General principles</w:t>
                  </w:r>
                </w:p>
                <w:p>
                  <w:pPr>
                    <w:pStyle w:val="BodyText"/>
                  </w:pPr>
                  <w:r>
                    <w:t xml:space="preserve">The following general principles apply to public takeover bids in Italy. These rules are based on the Takeover Directive:</w:t>
                  </w:r>
                </w:p>
                <w:p>
                  <w:pPr>
                    <w:pStyle w:val="BodyText"/>
                  </w:pPr>
                  <w:pPr>
                    <w:pStyle w:val="ListParagraph"/>
                    <w:numPr>
                      <w:ilvl w:val="0"/>
                      <w:numId w:val="48"/>
                    </w:numPr>
                  </w:pPr>
                  <w:r>
                    <w:t xml:space="preserve">all holders of the securities of the same class of the target company must be afforded equivalent treatment. Moreover, if a person acquires control of a company, the other holders of securities must be protected;</w:t>
                  </w:r>
                </w:p>
                <w:p>
                  <w:pPr>
                    <w:pStyle w:val="BodyText"/>
                  </w:pPr>
                  <w:pPr>
                    <w:pStyle w:val="ListParagraph"/>
                    <w:numPr>
                      <w:ilvl w:val="0"/>
                      <w:numId w:val="48"/>
                    </w:numPr>
                  </w:pPr>
                  <w:r>
                    <w:t xml:space="preserve">the holders of the securities of the target company must be given sufficient time and information to enable them to make a properly informed decision on the bid. In particular, the board of directors of the target company must issue a statement where it gives its views on the adequacy of the consideration offered and the effects of a successful completion of the takeover on (i) the interests of the target company; (ii) employment and conditions of employment at target company level; and (iii) continued operations at existing sites;</w:t>
                  </w:r>
                </w:p>
                <w:p>
                  <w:pPr>
                    <w:pStyle w:val="BodyText"/>
                  </w:pPr>
                  <w:pPr>
                    <w:pStyle w:val="ListParagraph"/>
                    <w:numPr>
                      <w:ilvl w:val="0"/>
                      <w:numId w:val="48"/>
                    </w:numPr>
                  </w:pPr>
                  <w:r>
                    <w:t xml:space="preserve">a false market must not be created in the securities of the target company, the bidder or any other company interested in the bid in such a way that the rise or fall of the prices of the securities becomes artificial and the normal functioning of the markets is distorted; and</w:t>
                  </w:r>
                </w:p>
                <w:p>
                  <w:pPr>
                    <w:pStyle w:val="BodyText"/>
                  </w:pPr>
                  <w:pPr>
                    <w:pStyle w:val="ListParagraph"/>
                    <w:numPr>
                      <w:ilvl w:val="0"/>
                      <w:numId w:val="48"/>
                    </w:numPr>
                  </w:pPr>
                  <w:r>
                    <w:t xml:space="preserve">the bidder can announce the bid only after ensuring that it will be able to fulfil in full its obligations to pay the relevant consideration (either in cash or in kind).</w:t>
                  </w:r>
                </w:p>
                <w:p>
                  <w:pPr>
                    <w:pStyle w:val="BodyText"/>
                  </w:pPr>
                  <w:r>
                    <w:rPr>
                      <w:b/>
                    </w:rPr>
                    <w:t xml:space="preserve">2.5 Proposed reforms</w:t>
                  </w:r>
                </w:p>
                <w:p>
                  <w:pPr>
                    <w:pStyle w:val="BodyText"/>
                  </w:pPr>
                  <w:r>
                    <w:t xml:space="preserve">No specific reforms to the takeover regulation in Italy have been recently proposed nor are expected.</w:t>
                  </w:r>
                </w:p>
                <w:p>
                  <w:pPr>
                    <w:pStyle w:val="BodyText"/>
                  </w:pPr>
                  <w:r>
                    <w:rPr>
                      <w:b/>
                    </w:rPr>
                    <w:t xml:space="preserve">2.6 Foreign investments</w:t>
                  </w:r>
                </w:p>
                <w:p>
                  <w:pPr>
                    <w:pStyle w:val="BodyText"/>
                  </w:pPr>
                  <w:r>
                    <w:t xml:space="preserve">In general terms, foreign investments are not subject to specific restrictions in Italy. It should be borne in mind, however, that the Italian government has "special powers", which give the Italian government the ability to veto or impose conditions on a transaction involving a change of control over companies that hold assets in the following sectors: </w:t>
                  </w:r>
                </w:p>
                <w:p>
                  <w:pPr>
                    <w:pStyle w:val="BodyText"/>
                  </w:pPr>
                  <w:pPr>
                    <w:pStyle w:val="ListParagraph"/>
                    <w:numPr>
                      <w:ilvl w:val="0"/>
                      <w:numId w:val="49"/>
                    </w:numPr>
                  </w:pPr>
                  <w:r>
                    <w:t xml:space="preserve">strategic sectors: defense and homeland security, energy, transportation, and telecommunications; and</w:t>
                  </w:r>
                </w:p>
                <w:p>
                  <w:pPr>
                    <w:pStyle w:val="BodyText"/>
                  </w:pPr>
                  <w:pPr>
                    <w:pStyle w:val="ListParagraph"/>
                    <w:numPr>
                      <w:ilvl w:val="0"/>
                      <w:numId w:val="49"/>
                    </w:numPr>
                  </w:pPr>
                  <w:r>
                    <w:t xml:space="preserve">additional sectors: healthcare, food security, water, banking, finance, insurance, dual-use products, IT, critical technologies, sensitive information including personal data.</w:t>
                  </w:r>
                </w:p>
                <w:p>
                  <w:pPr>
                    <w:pStyle w:val="BodyText"/>
                  </w:pPr>
                  <w:r>
                    <w:t xml:space="preserve">The Italian government may exercise its special powers if it determines that the transaction entails a threat of a serious harm to the essential interests of the Republic of Italy for the security and operation of networks and plants and continuity of supplies in the relevant sectors or a risk to national security or public order.</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Before a Public Takeover Bid</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3. Before a Public Takeover Bid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January 2025, unless otherwise noted]</w:t>
                  </w:r>
                </w:p>
                <w:p>
                  <w:pPr>
                    <w:pStyle w:val="BodyText"/>
                  </w:pPr>
                  <w:r>
                    <w:rPr>
                      <w:b/>
                    </w:rPr>
                    <w:t xml:space="preserve">3.1 Shareholding rights and powers </w:t>
                  </w:r>
                </w:p>
                <w:p>
                  <w:pPr>
                    <w:pStyle w:val="BodyText"/>
                  </w:pPr>
                  <w:r>
                    <w:t xml:space="preserve">The table below provides an overview of the different rights and powers that are attached to different levels of shareholding held in the voting stock of an Italian listed company:</w:t>
                  </w:r>
                </w:p>
                <w:tbl>
                  <w:pPr>
                    <w:pStyle w:val="BodyText"/>
                  </w:pPr>
                  <w:tblPr>
                    <w:tblStyle w:val="TableGrid"/>
                    <w:tblW w:w="5000" w:type="pct"/>
                  </w:tblPr>
                  <w:tblGrid>
                    <w:gridCol/>
                    <w:gridCol/>
                  </w:tblGrid>
                  <w:tr>
                    <w:tc>
                      <w:tcPr>
                        <w:tcW w:w="1500" w:type="pct"/>
                        <w:vAlign w:val="center"/>
                      </w:tcPr>
                      <w:p>
                        <w:r>
                          <w:rPr>
                            <w:b/>
                          </w:rPr>
                          <w:t xml:space="preserve">Shareholding</w:t>
                        </w:r>
                      </w:p>
                    </w:tc>
                    <w:tc>
                      <w:tcPr>
                        <w:tcW w:w="3500" w:type="pct"/>
                        <w:vAlign w:val="center"/>
                      </w:tcPr>
                      <w:p>
                        <w:r>
                          <w:rPr>
                            <w:b/>
                          </w:rPr>
                          <w:t xml:space="preserve">Rights</w:t>
                        </w:r>
                      </w:p>
                    </w:tc>
                  </w:tr>
                  <w:tr>
                    <w:tc>
                      <w:tcPr>
                        <w:vAlign w:val="top"/>
                      </w:tcPr>
                      <w:p>
                        <w:r>
                          <w:t xml:space="preserve">One share</w:t>
                        </w:r>
                      </w:p>
                    </w:tc>
                    <w:tc>
                      <w:tcPr>
                        <w:vAlign w:val="top"/>
                      </w:tcPr>
                      <w:p>
                        <w:pPr>
                          <w:pStyle w:val="ListParagraph"/>
                          <w:numPr>
                            <w:ilvl w:val="0"/>
                            <w:numId w:val="35"/>
                          </w:numPr>
                        </w:pPr>
                        <w:r>
                          <w:t xml:space="preserve">The right to receive a proportional part of the net profits of the company, if any, and of the net assets of the company upon winding-up.</w:t>
                        </w:r>
                      </w:p>
                      <w:p>
                        <w:pPr>
                          <w:pStyle w:val="ListParagraph"/>
                          <w:numPr>
                            <w:ilvl w:val="0"/>
                            <w:numId w:val="35"/>
                          </w:numPr>
                        </w:pPr>
                        <w:r>
                          <w:t xml:space="preserve">The right to attend and vote at shareholders’</w:t>
                        </w:r>
                      </w:p>
                      <w:p>
                        <w:pPr>
                          <w:pStyle w:val="ListParagraph"/>
                          <w:numPr>
                            <w:ilvl w:val="0"/>
                            <w:numId w:val="35"/>
                          </w:numPr>
                        </w:pPr>
                        <w:r>
                          <w:t xml:space="preserve">The right to obtain a copy of the documentation submitted to share-holders’ meetings.</w:t>
                        </w:r>
                      </w:p>
                      <w:p>
                        <w:pPr>
                          <w:pStyle w:val="ListParagraph"/>
                          <w:numPr>
                            <w:ilvl w:val="0"/>
                            <w:numId w:val="35"/>
                          </w:numPr>
                        </w:pPr>
                        <w:r>
                          <w:t xml:space="preserve">The right to submit questions (either orally at the meeting or in writing prior to the meeting) to the directors and statutory auditors at shareholders’</w:t>
                        </w:r>
                      </w:p>
                      <w:p>
                        <w:pPr>
                          <w:pStyle w:val="ListParagraph"/>
                          <w:numPr>
                            <w:ilvl w:val="0"/>
                            <w:numId w:val="35"/>
                          </w:numPr>
                        </w:pPr>
                        <w:r>
                          <w:t xml:space="preserve">The right to petition for voidance of resolutions adopted by the shareholders’ meetings where (i) the meeting has not been duly called, (ii) the minutes of the meeting have not been drafted, and (iii) the content of the resolution is impossible or</w:t>
                        </w:r>
                      </w:p>
                      <w:p>
                        <w:pPr>
                          <w:pStyle w:val="ListParagraph"/>
                          <w:numPr>
                            <w:ilvl w:val="0"/>
                            <w:numId w:val="35"/>
                          </w:numPr>
                        </w:pPr>
                        <w:r>
                          <w:t xml:space="preserve">The right to lodge a complaint with the statutory</w:t>
                        </w:r>
                      </w:p>
                      <w:p>
                        <w:pPr>
                          <w:pStyle w:val="ListParagraph"/>
                          <w:numPr>
                            <w:ilvl w:val="0"/>
                            <w:numId w:val="35"/>
                          </w:numPr>
                        </w:pPr>
                        <w:r>
                          <w:t xml:space="preserve">The right to examine the shareholders’ ledger and the book of the minutes of shareholders’ meetings.</w:t>
                        </w:r>
                      </w:p>
                    </w:tc>
                  </w:tr>
                  <w:tr>
                    <w:tc>
                      <w:tcPr>
                        <w:vAlign w:val="top"/>
                      </w:tcPr>
                      <w:p>
                        <w:r>
                          <w:t xml:space="preserve">0.1%</w:t>
                        </w:r>
                      </w:p>
                    </w:tc>
                    <w:tc>
                      <w:tcPr>
                        <w:vAlign w:val="top"/>
                      </w:tcPr>
                      <w:p>
                        <w:pPr>
                          <w:pStyle w:val="ListParagraph"/>
                          <w:numPr>
                            <w:ilvl w:val="0"/>
                            <w:numId w:val="36"/>
                          </w:numPr>
                        </w:pPr>
                        <w:r>
                          <w:t xml:space="preserve">The right to challenge a shareholders’ meeting resolution which does not comply with the law or with the articles of association of the company, provided that – at the concerned meeting – the shareholders owning at least 0.1% of the voting stock were absent or expressed a negative vote or abstained, unless the articles of association set forth a lower percentage or exclude altogether the applicability of any percentage requirement for the purpose of said challenge.</w:t>
                        </w:r>
                      </w:p>
                      <w:p>
                        <w:pPr>
                          <w:pStyle w:val="ListParagraph"/>
                          <w:numPr>
                            <w:ilvl w:val="0"/>
                            <w:numId w:val="36"/>
                          </w:numPr>
                        </w:pPr>
                        <w:r>
                          <w:t xml:space="preserve">The right to challenge a shareholders’ meeting resolution approving the financial statements on the grounds that said financial statements fail to comply with the provisions governing the preparation thereof, in presence of a negative opinion, a disclaimer or a qualified opinion expressing significant doubts on the business continuity of the financial statements, issued by the independent auditors.</w:t>
                        </w:r>
                      </w:p>
                    </w:tc>
                  </w:tr>
                  <w:tr>
                    <w:tc>
                      <w:tcPr>
                        <w:vAlign w:val="top"/>
                      </w:tcPr>
                      <w:p>
                        <w:r>
                          <w:t xml:space="preserve">2%</w:t>
                        </w:r>
                      </w:p>
                    </w:tc>
                    <w:tc>
                      <w:tcPr>
                        <w:vAlign w:val="top"/>
                      </w:tcPr>
                      <w:p>
                        <w:r>
                          <w:t xml:space="preserve">The right to lodge a complaint concerning the company’s management with the statutory auditors. In such case, the statutory auditors must promptly investigate the matter and report to the shareholders’ meeting or, in case of serious mismanagement, promptly call the shareholders’ meeting for urgent actions (unless the articles of association set forth a lower percentage).</w:t>
                        </w:r>
                      </w:p>
                    </w:tc>
                  </w:tr>
                  <w:tr>
                    <w:tc>
                      <w:tcPr>
                        <w:vAlign w:val="top"/>
                      </w:tcPr>
                      <w:p>
                        <w:r>
                          <w:t xml:space="preserve">2.5%</w:t>
                        </w:r>
                      </w:p>
                    </w:tc>
                    <w:tc>
                      <w:tcPr>
                        <w:vAlign w:val="top"/>
                      </w:tcPr>
                      <w:p>
                        <w:pPr>
                          <w:pStyle w:val="ListParagraph"/>
                          <w:numPr>
                            <w:ilvl w:val="0"/>
                            <w:numId w:val="37"/>
                          </w:numPr>
                        </w:pPr>
                        <w:r>
                          <w:t xml:space="preserve">The right to request that the agenda of the shareholders’ meeting be supplemented and to submit proposals for resolution in relation to items already included in the agenda of the shareholders’ meeting.</w:t>
                        </w:r>
                      </w:p>
                      <w:p>
                        <w:pPr>
                          <w:pStyle w:val="ListParagraph"/>
                          <w:numPr>
                            <w:ilvl w:val="0"/>
                            <w:numId w:val="37"/>
                          </w:numPr>
                        </w:pPr>
                        <w:r>
                          <w:t xml:space="preserve">The right to sue the directors and/or the statutory auditors for damages caused to the company (unless the articles of association set forth a lower percentage).</w:t>
                        </w:r>
                      </w:p>
                      <w:p>
                        <w:pPr>
                          <w:pStyle w:val="ListParagraph"/>
                          <w:numPr>
                            <w:ilvl w:val="0"/>
                            <w:numId w:val="37"/>
                          </w:numPr>
                        </w:pPr>
                        <w:r>
                          <w:t xml:space="preserve">The right to submit a list of potentials for the appointment of the directors and the statutory auditors (unless the articles of association set forth a lower percentage).</w:t>
                        </w:r>
                      </w:p>
                    </w:tc>
                  </w:tr>
                  <w:tr>
                    <w:tc>
                      <w:tcPr>
                        <w:vAlign w:val="top"/>
                      </w:tcPr>
                      <w:p>
                        <w:r>
                          <w:t xml:space="preserve">5%</w:t>
                        </w:r>
                      </w:p>
                    </w:tc>
                    <w:tc>
                      <w:tcPr>
                        <w:vAlign w:val="top"/>
                      </w:tcPr>
                      <w:p>
                        <w:pPr>
                          <w:pStyle w:val="ListParagraph"/>
                          <w:numPr>
                            <w:ilvl w:val="0"/>
                            <w:numId w:val="38"/>
                          </w:numPr>
                        </w:pPr>
                        <w:r>
                          <w:t xml:space="preserve">The right to request that (i) the board of directors, or (ii) in case of nonfulfillment by the board, the statutory auditors, or (iii) in case of non- fulfilment by the statutory auditors, the court (petitioned ad hoc), promptly call a shareholders’ meeting (unless the articles of association set forth a lower percentage).</w:t>
                        </w:r>
                      </w:p>
                      <w:p>
                        <w:pPr>
                          <w:pStyle w:val="ListParagraph"/>
                          <w:numPr>
                            <w:ilvl w:val="0"/>
                            <w:numId w:val="38"/>
                          </w:numPr>
                        </w:pPr>
                        <w:r>
                          <w:t xml:space="preserve">The right to petition the court to take immediate action against directors if there is well grounded suspicion of serious mismanagement which may harm the company or one or more of its subsidiaries (unless the articles of association set forth a lower percentage).</w:t>
                        </w:r>
                      </w:p>
                      <w:p>
                        <w:pPr>
                          <w:pStyle w:val="ListParagraph"/>
                          <w:numPr>
                            <w:ilvl w:val="0"/>
                            <w:numId w:val="38"/>
                          </w:numPr>
                        </w:pPr>
                        <w:r>
                          <w:t xml:space="preserve">The right to oppose to the shareholders’ meeting resolution aimed at (i) releasing directors and/ the statutory auditors from their liabilities vis-à-vis the company, or (ii) settling a claim of the company against the directors and/or statutory auditors, where a proceeding has been initiated by the shareholders on behalf of the company or by the company itself against the directors and/or the statutory auditors (unless the articles of association set forth a lower percentage).</w:t>
                        </w:r>
                      </w:p>
                      <w:p>
                        <w:pPr>
                          <w:pStyle w:val="ListParagraph"/>
                          <w:numPr>
                            <w:ilvl w:val="0"/>
                            <w:numId w:val="38"/>
                          </w:numPr>
                        </w:pPr>
                        <w:r>
                          <w:t xml:space="preserve">The right to challenge the resolution of a shareholders’ meeting approving the financial statements on the grounds that said financial statements fail to comply with the provisions governing the preparation thereof, in presence of a positive opinion on said financial statements issued by the independent auditors</w:t>
                        </w:r>
                      </w:p>
                    </w:tc>
                  </w:tr>
                  <w:tr>
                    <w:tc>
                      <w:tcPr>
                        <w:vAlign w:val="top"/>
                      </w:tcPr>
                      <w:p>
                        <w:r>
                          <w:t xml:space="preserve">20%</w:t>
                        </w:r>
                      </w:p>
                    </w:tc>
                    <w:tc>
                      <w:tcPr>
                        <w:vAlign w:val="top"/>
                      </w:tcPr>
                      <w:p>
                        <w:r>
                          <w:t xml:space="preserve">The right to pass a resolution to sue directors and/or statutory auditors for damages caused to the company automatically causing the removal of the relevant directors and/or statutory auditors from their offices.</w:t>
                        </w:r>
                      </w:p>
                    </w:tc>
                  </w:tr>
                  <w:tr>
                    <w:tc>
                      <w:tcPr>
                        <w:vAlign w:val="top"/>
                      </w:tcPr>
                      <w:p>
                        <w:r>
                          <w:t xml:space="preserve">33.33% (i.e., one-third of the corporate capital)</w:t>
                        </w:r>
                      </w:p>
                    </w:tc>
                    <w:tc>
                      <w:tcPr>
                        <w:vAlign w:val="top"/>
                      </w:tcPr>
                      <w:p>
                        <w:r>
                          <w:t xml:space="preserve">The right to claim to be not sufficiently informed about the items on the agenda and, accordingly, the right to request that the meeting be adjourned with respect to such items for up to five days.</w:t>
                        </w:r>
                      </w:p>
                    </w:tc>
                  </w:tr>
                  <w:tr>
                    <w:tc>
                      <w:tcPr>
                        <w:vAlign w:val="top"/>
                      </w:tcPr>
                      <w:p>
                        <w:r>
                          <w:t xml:space="preserve">More than 50%</w:t>
                        </w:r>
                      </w:p>
                    </w:tc>
                    <w:tc>
                      <w:tcPr>
                        <w:vAlign w:val="top"/>
                      </w:tcPr>
                      <w:p>
                        <w:r>
                          <w:t xml:space="preserve">The right to approve resolutions concerning the following matters in the ordinary shareholders’ meeting:</w:t>
                        </w:r>
                      </w:p>
                      <w:p>
                        <w:pPr>
                          <w:pStyle w:val="ListParagraph"/>
                          <w:numPr>
                            <w:ilvl w:val="0"/>
                            <w:numId w:val="39"/>
                          </w:numPr>
                        </w:pPr>
                        <w:r>
                          <w:t xml:space="preserve">approval of the financial statements;</w:t>
                        </w:r>
                      </w:p>
                      <w:p>
                        <w:pPr>
                          <w:pStyle w:val="ListParagraph"/>
                          <w:numPr>
                            <w:ilvl w:val="0"/>
                            <w:numId w:val="39"/>
                          </w:numPr>
                        </w:pPr>
                        <w:r>
                          <w:t xml:space="preserve">appointment and removal of directors and determination of their remuneration;</w:t>
                        </w:r>
                      </w:p>
                      <w:p>
                        <w:pPr>
                          <w:pStyle w:val="ListParagraph"/>
                          <w:numPr>
                            <w:ilvl w:val="0"/>
                            <w:numId w:val="39"/>
                          </w:numPr>
                        </w:pPr>
                        <w:r>
                          <w:t xml:space="preserve">appointment and removal of statutory auditors and determination of their remuneration;</w:t>
                        </w:r>
                      </w:p>
                      <w:p>
                        <w:pPr>
                          <w:pStyle w:val="ListParagraph"/>
                          <w:numPr>
                            <w:ilvl w:val="0"/>
                            <w:numId w:val="39"/>
                          </w:numPr>
                        </w:pPr>
                        <w:r>
                          <w:t xml:space="preserve">appointment and removal of the external auditors;</w:t>
                        </w:r>
                      </w:p>
                      <w:p>
                        <w:pPr>
                          <w:pStyle w:val="ListParagraph"/>
                          <w:numPr>
                            <w:ilvl w:val="0"/>
                            <w:numId w:val="39"/>
                          </w:numPr>
                        </w:pPr>
                        <w:r>
                          <w:t xml:space="preserve">resolution on the liability of the directors and statutory auditors; and</w:t>
                        </w:r>
                      </w:p>
                      <w:p>
                        <w:pPr>
                          <w:pStyle w:val="ListParagraph"/>
                          <w:numPr>
                            <w:ilvl w:val="0"/>
                            <w:numId w:val="39"/>
                          </w:numPr>
                        </w:pPr>
                        <w:r>
                          <w:t xml:space="preserve">any other matter attributed by law to the competence of the ordinary shareholders’ meeting.</w:t>
                        </w:r>
                      </w:p>
                    </w:tc>
                  </w:tr>
                  <w:tr>
                    <w:tc>
                      <w:tcPr>
                        <w:vAlign w:val="top"/>
                      </w:tcPr>
                      <w:p>
                        <w:r>
                          <w:t xml:space="preserve">At least 66.6%</w:t>
                        </w:r>
                      </w:p>
                    </w:tc>
                    <w:tc>
                      <w:tcPr>
                        <w:vAlign w:val="top"/>
                      </w:tcPr>
                      <w:p>
                        <w:r>
                          <w:t xml:space="preserve">The right to approve resolutions concerning the following matters in the extraordinary shareholders’ meeting:</w:t>
                        </w:r>
                      </w:p>
                      <w:p>
                        <w:pPr>
                          <w:pStyle w:val="ListParagraph"/>
                          <w:numPr>
                            <w:ilvl w:val="0"/>
                            <w:numId w:val="40"/>
                          </w:numPr>
                        </w:pPr>
                        <w:r>
                          <w:t xml:space="preserve">amendments to the articles of association;</w:t>
                        </w:r>
                      </w:p>
                      <w:p>
                        <w:pPr>
                          <w:pStyle w:val="ListParagraph"/>
                          <w:numPr>
                            <w:ilvl w:val="0"/>
                            <w:numId w:val="40"/>
                          </w:numPr>
                        </w:pPr>
                        <w:r>
                          <w:t xml:space="preserve">appointment and replacement of the liquidators and determination of powers granted to them; and</w:t>
                        </w:r>
                      </w:p>
                      <w:p>
                        <w:pPr>
                          <w:pStyle w:val="ListParagraph"/>
                          <w:numPr>
                            <w:ilvl w:val="0"/>
                            <w:numId w:val="40"/>
                          </w:numPr>
                        </w:pPr>
                        <w:r>
                          <w:t xml:space="preserve">any other matter attributed by law to the competence of the extraordinary shareholders’ meeting.</w:t>
                        </w:r>
                      </w:p>
                    </w:tc>
                  </w:tr>
                  <w:tr>
                    <w:tc>
                      <w:tcPr>
                        <w:vAlign w:val="top"/>
                      </w:tcPr>
                      <w:p>
                        <w:r>
                          <w:t xml:space="preserve">95%</w:t>
                        </w:r>
                      </w:p>
                    </w:tc>
                    <w:tc>
                      <w:tcPr>
                        <w:vAlign w:val="top"/>
                      </w:tcPr>
                      <w:p>
                        <w:r>
                          <w:t xml:space="preserve">The squeeze-out right (as defined under 7 below).</w:t>
                        </w:r>
                      </w:p>
                    </w:tc>
                  </w:tr>
                </w:tbl>
                <w:p>
                  <w:pPr>
                    <w:pStyle w:val="BodyText"/>
                  </w:pPr>
                  <w:r>
                    <w:br/>
                  </w:r>
                  <w:r>
                    <w:rPr>
                      <w:b/>
                    </w:rPr>
                    <w:t xml:space="preserve">3.2 Restrictions and careful planning</w:t>
                  </w:r>
                </w:p>
                <w:p>
                  <w:pPr>
                    <w:pStyle w:val="BodyText"/>
                  </w:pPr>
                  <w:r>
                    <w:t xml:space="preserve">Italian law contains a number of rules that apply before a public takeover bid is announced. These rules impose restrictions in relation to prior stake building by a bidder, announcements of a potential takeover bid by a bidder or a target company, and prior due diligence by a potential bidder. The main restrictions are summarized below. Some careful planning is therefore necessary if a potential bidder or target company intends to start a process aimed at launching a public takeover bid.</w:t>
                  </w:r>
                </w:p>
                <w:p>
                  <w:pPr>
                    <w:pStyle w:val="BodyText"/>
                  </w:pPr>
                  <w:r>
                    <w:rPr>
                      <w:b/>
                    </w:rPr>
                    <w:t xml:space="preserve">3.3 Insider trading and market abuse</w:t>
                  </w:r>
                </w:p>
                <w:p>
                  <w:pPr>
                    <w:pStyle w:val="BodyText"/>
                  </w:pPr>
                  <w:r>
                    <w:t xml:space="preserve">The basic legal framework regarding insider trading and market abuse under Italian law is set forth in the Market Abuse Regulation and in the IFA and related regulation implementing such legislation.</w:t>
                  </w:r>
                </w:p>
                <w:p>
                  <w:pPr>
                    <w:pStyle w:val="BodyText"/>
                  </w:pPr>
                  <w:r>
                    <w:t xml:space="preserve">With the above in mind, in principle, the rules on insider trading and market abuse remain applicable before, during and after a public takeover bid, albeit that during a takeover bid additional disclosures and restrictions apply in relation to trading in the securities of the target company. It should also be noted that the rules on insider trading prevent a bidder that has inside information regarding a target company (other than in relation to the actual takeover bid) from launching a takeover bid, unless the bidder (or the target company) publicly discloses such inside information and also includes this in the offering document (</w:t>
                  </w:r>
                  <w:r>
                    <w:rPr>
                      <w:i/>
                    </w:rPr>
                    <w:t xml:space="preserve">Documento di Offerta</w:t>
                  </w:r>
                  <w:r>
                    <w:t xml:space="preserve">) concerning the bid.</w:t>
                  </w:r>
                </w:p>
                <w:p>
                  <w:pPr>
                    <w:pStyle w:val="BodyText"/>
                  </w:pPr>
                  <w:r>
                    <w:t xml:space="preserve">With regard to the concept of "</w:t>
                  </w:r>
                  <w:r>
                    <w:rPr>
                      <w:i/>
                    </w:rPr>
                    <w:t xml:space="preserve">inside information</w:t>
                  </w:r>
                  <w:r>
                    <w:t xml:space="preserve">" and for the purposes of the applicable disclosure obligations, the Market Abuse Regulation provides for a definition thereof, whereby:</w:t>
                  </w:r>
                </w:p>
                <w:p>
                  <w:pPr>
                    <w:pStyle w:val="BodyText"/>
                  </w:pPr>
                  <w:pPr>
                    <w:pStyle w:val="ListParagraph"/>
                    <w:numPr>
                      <w:ilvl w:val="0"/>
                      <w:numId w:val="41"/>
                    </w:numPr>
                  </w:pPr>
                  <w:r>
                    <w:t xml:space="preserve">"</w:t>
                  </w:r>
                  <w:r>
                    <w:rPr>
                      <w:i/>
                    </w:rPr>
                    <w:t xml:space="preserve">inside information</w:t>
                  </w:r>
                  <w:r>
                    <w:t xml:space="preserve">" means information of a precise nature which has not been made public, relating, directly or indirectly, to one or more issuers or to one or more financial instruments, and which, if it were made public, would be likely to have a significant effect on the prices of those financial instruments or on the price of related derivative financial instruments;</w:t>
                  </w:r>
                </w:p>
                <w:p>
                  <w:pPr>
                    <w:pStyle w:val="BodyText"/>
                  </w:pPr>
                  <w:pPr>
                    <w:pStyle w:val="ListParagraph"/>
                    <w:numPr>
                      <w:ilvl w:val="0"/>
                      <w:numId w:val="41"/>
                    </w:numPr>
                  </w:pPr>
                  <w:r>
                    <w:t xml:space="preserve">information shall be deemed to be of a "</w:t>
                  </w:r>
                  <w:r>
                    <w:rPr>
                      <w:i/>
                    </w:rPr>
                    <w:t xml:space="preserve">precise nature</w:t>
                  </w:r>
                  <w:r>
                    <w:t xml:space="preserve">" if it indicates a set of circumstances which exists or which may reasonably be expected to come into existence, or an event which has occurred or which may reasonably be expected to occur, where it is specific enough to enable a conclusion to be drawn as to the possible effect of that set of circumstances or event on the prices of the financial instruments or the related derivative financial instrument; and</w:t>
                  </w:r>
                </w:p>
                <w:p>
                  <w:pPr>
                    <w:pStyle w:val="BodyText"/>
                  </w:pPr>
                  <w:pPr>
                    <w:pStyle w:val="ListParagraph"/>
                    <w:numPr>
                      <w:ilvl w:val="0"/>
                      <w:numId w:val="41"/>
                    </w:numPr>
                  </w:pPr>
                  <w:r>
                    <w:t xml:space="preserve">"</w:t>
                  </w:r>
                  <w:r>
                    <w:rPr>
                      <w:i/>
                    </w:rPr>
                    <w:t xml:space="preserve">information which, if it were made public, would be likely to have a significant effect on the prices of financial instruments or related derivative financial instruments</w:t>
                  </w:r>
                  <w:r>
                    <w:t xml:space="preserve">" shall mean information a reasonable investor would be likely to use as part of the basis of their investment decisions.</w:t>
                  </w:r>
                </w:p>
                <w:p>
                  <w:pPr>
                    <w:pStyle w:val="BodyText"/>
                  </w:pPr>
                  <w:r>
                    <w:t xml:space="preserve">Usually, it is up to the management of a listed company to determine whether or not certain information qualifies as “inside information”, which in certain circumstances, may prove to be a difficult exercise.</w:t>
                  </w:r>
                </w:p>
                <w:p>
                  <w:pPr>
                    <w:pStyle w:val="BodyText"/>
                  </w:pPr>
                  <w:r>
                    <w:rPr>
                      <w:b/>
                    </w:rPr>
                    <w:t xml:space="preserve">3.4 Disclosure of shareholdings</w:t>
                  </w:r>
                </w:p>
                <w:p>
                  <w:pPr>
                    <w:pStyle w:val="BodyText"/>
                  </w:pPr>
                  <w:r>
                    <w:rPr>
                      <w:color w:val="1D1D1B"/>
                    </w:rPr>
                    <w:t xml:space="preserve">The rules regarding the disclosure of shareholdings and transparency apply before, during and after a public takeover</w:t>
                  </w:r>
                  <w:r>
                    <w:rPr>
                      <w:color w:val="1D1D1B"/>
                    </w:rPr>
                    <w:t xml:space="preserve"> </w:t>
                  </w:r>
                  <w:r>
                    <w:t xml:space="preserve">bid.</w:t>
                  </w:r>
                  <w:r>
                    <w:t xml:space="preserve"> </w:t>
                  </w:r>
                  <w:r>
                    <w:t xml:space="preserve">Pursuant</w:t>
                  </w:r>
                  <w:r>
                    <w:t xml:space="preserve"> </w:t>
                  </w:r>
                  <w:r>
                    <w:t xml:space="preserve">to</w:t>
                  </w:r>
                  <w:r>
                    <w:t xml:space="preserve"> </w:t>
                  </w:r>
                  <w:r>
                    <w:t xml:space="preserve">these</w:t>
                  </w:r>
                  <w:r>
                    <w:t xml:space="preserve"> </w:t>
                  </w:r>
                  <w:r>
                    <w:t xml:space="preserve">rules,</w:t>
                  </w:r>
                  <w:r>
                    <w:t xml:space="preserve"> </w:t>
                  </w:r>
                  <w:r>
                    <w:t xml:space="preserve">if</w:t>
                  </w:r>
                  <w:r>
                    <w:t xml:space="preserve"> </w:t>
                  </w:r>
                  <w:r>
                    <w:t xml:space="preserve">a</w:t>
                  </w:r>
                  <w:r>
                    <w:t xml:space="preserve"> </w:t>
                  </w:r>
                  <w:r>
                    <w:t xml:space="preserve">potential</w:t>
                  </w:r>
                  <w:r>
                    <w:t xml:space="preserve"> </w:t>
                  </w:r>
                  <w:r>
                    <w:t xml:space="preserve">bidder</w:t>
                  </w:r>
                  <w:r>
                    <w:t xml:space="preserve"> </w:t>
                  </w:r>
                  <w:r>
                    <w:t xml:space="preserve">starts</w:t>
                  </w:r>
                  <w:r>
                    <w:t xml:space="preserve"> </w:t>
                  </w:r>
                  <w:r>
                    <w:t xml:space="preserve">building</w:t>
                  </w:r>
                  <w:r>
                    <w:t xml:space="preserve"> </w:t>
                  </w:r>
                  <w:r>
                    <w:t xml:space="preserve">up</w:t>
                  </w:r>
                  <w:r>
                    <w:t xml:space="preserve"> </w:t>
                  </w:r>
                  <w:r>
                    <w:t xml:space="preserve">a</w:t>
                  </w:r>
                  <w:r>
                    <w:t xml:space="preserve"> </w:t>
                  </w:r>
                  <w:r>
                    <w:t xml:space="preserve">stake</w:t>
                  </w:r>
                  <w:r>
                    <w:t xml:space="preserve"> </w:t>
                  </w:r>
                  <w:r>
                    <w:t xml:space="preserve">in</w:t>
                  </w:r>
                  <w:r>
                    <w:t xml:space="preserve"> </w:t>
                  </w:r>
                  <w:r>
                    <w:t xml:space="preserve">the</w:t>
                  </w:r>
                  <w:r>
                    <w:t xml:space="preserve"> </w:t>
                  </w:r>
                  <w:r>
                    <w:t xml:space="preserve">target</w:t>
                  </w:r>
                  <w:r>
                    <w:t xml:space="preserve"> </w:t>
                  </w:r>
                  <w:r>
                    <w:t xml:space="preserve">company,</w:t>
                  </w:r>
                  <w:r>
                    <w:t xml:space="preserve"> </w:t>
                  </w:r>
                  <w:r>
                    <w:t xml:space="preserve">it</w:t>
                  </w:r>
                  <w:r>
                    <w:t xml:space="preserve"> </w:t>
                  </w:r>
                  <w:r>
                    <w:t xml:space="preserve">will be obliged to publicly disclose its stake when the voting rights attaching to its stake pass the following thresholds: 3%, 5%, 10%, 15%, 20%, 25%, 30%, 50%, 66.6% and 90%.</w:t>
                  </w:r>
                </w:p>
                <w:p>
                  <w:pPr>
                    <w:pStyle w:val="BodyText"/>
                  </w:pPr>
                  <w:r>
                    <w:t xml:space="preserve">For Italian listed companies qualifying as small or medium-sized enterprises ("</w:t>
                  </w:r>
                  <w:r>
                    <w:rPr>
                      <w:b/>
                    </w:rPr>
                    <w:t xml:space="preserve">SMEs</w:t>
                  </w:r>
                  <w:r>
                    <w:t xml:space="preserve">"), the first relevant threshold to be considered for disclosure purposes is set at 5%. A listed company qualifies as an SME when it shows a market capitalization lower than EUR 1 billion.</w:t>
                  </w:r>
                </w:p>
                <w:p>
                  <w:pPr>
                    <w:pStyle w:val="BodyText"/>
                  </w:pPr>
                  <w:r>
                    <w:rPr>
                      <w:color w:val="1D1D1B"/>
                    </w:rPr>
                    <w:t xml:space="preserve">Furthermore, in case of the acquisition of a stake exceeding the thresholds of 10%, 20% and 25%, the party responsible for the communication must disclose the business objectives it intends to pursue during the six months following the acquisition of the relevant stake.</w:t>
                  </w:r>
                </w:p>
                <w:p>
                  <w:pPr>
                    <w:pStyle w:val="BodyText"/>
                  </w:pPr>
                  <w:r>
                    <w:rPr>
                      <w:color w:val="1D1D1B"/>
                    </w:rPr>
                    <w:t xml:space="preserve">When determining whether a threshold has been passed, a potential bidder must also take into account the voting securities held through nominees, fiduciaries or subsidiaries, respectively.</w:t>
                  </w:r>
                </w:p>
                <w:p>
                  <w:pPr>
                    <w:pStyle w:val="BodyText"/>
                  </w:pPr>
                  <w:r>
                    <w:rPr>
                      <w:b/>
                    </w:rPr>
                    <w:t xml:space="preserve">3.5 Disclosures by the target company</w:t>
                  </w:r>
                </w:p>
                <w:p>
                  <w:pPr>
                    <w:pStyle w:val="BodyText"/>
                  </w:pPr>
                  <w:r>
                    <w:t xml:space="preserve">During a public takeover bid, the target company must continue to comply with the general rules regarding disclosure and transparency, which include the obligation of the company to immediately disclose to the public any inside information relating to itself, its securities and/or its subsidiaries, if any. The facts surrounding the preparation of a public takeover bid may constitute inside information and as such, be subject to disclosure. However, the board of the target company may delay the disclosure if it believes that a disclosure would not be in the legitimate interest of the company. For instance, this could be the case if the target’s board believes that an early disclosure would prejudice the negotiations regarding a bid. However, a delay of the announcement is only permitted provided that (i) an immediate disclosure is likely to prejudice the legitimate interests of the target company, (ii) the delay of disclosure is not likely to mislead the public, and (iii) the target company is able to ensure the confidentiality of that information.</w:t>
                  </w:r>
                </w:p>
                <w:p>
                  <w:pPr>
                    <w:pStyle w:val="BodyText"/>
                  </w:pPr>
                  <w:r>
                    <w:t xml:space="preserve">It is worth mentioning that Regulation (EU) 2024/2809 of 23 October 2024 has further clarified the scope of the requirement mentioned under point (ii) above, by providing that, starting from June 2026, a delay of the announcement is only permitted provided that the inside information that the issuer intends to delay is not in contrast with the latest public announcement or other type of communication by the issuer on the same matter to which the inside information refers.</w:t>
                  </w:r>
                </w:p>
                <w:p>
                  <w:pPr>
                    <w:pStyle w:val="BodyText"/>
                  </w:pPr>
                  <w:r>
                    <w:rPr>
                      <w:b/>
                    </w:rPr>
                    <w:t xml:space="preserve">3.6 Announcements of a public takeover bid</w:t>
                  </w:r>
                </w:p>
                <w:p>
                  <w:pPr>
                    <w:pStyle w:val="BodyText"/>
                  </w:pPr>
                  <w:r>
                    <w:rPr>
                      <w:color w:val="1D1D1B"/>
                    </w:rPr>
                    <w:t xml:space="preserve">The decision of a bidder to launch a voluntary public takeover bid (or the obligation of a bidder to launch a mandatory public takeover) must be notified without delay to CONSOB by way of submission of a notice ("</w:t>
                  </w:r>
                  <w:r>
                    <w:rPr>
                      <w:b/>
                      <w:color w:val="1D1D1B"/>
                    </w:rPr>
                    <w:t xml:space="preserve">Initial Notice</w:t>
                  </w:r>
                  <w:r>
                    <w:rPr>
                      <w:color w:val="1D1D1B"/>
                    </w:rPr>
                    <w:t xml:space="preserve">"). At the same time, the Initial Notice must be disclosed to the target company and the public. No later than 20 days from the date of the Initial Notice, the bidder must file with CONSOB an offering document (</w:t>
                  </w:r>
                  <w:r>
                    <w:rPr>
                      <w:i/>
                      <w:color w:val="1D1D1B"/>
                    </w:rPr>
                    <w:t xml:space="preserve">Documento di Offerta</w:t>
                  </w:r>
                  <w:r>
                    <w:rPr>
                      <w:color w:val="1D1D1B"/>
                    </w:rPr>
                    <w:t xml:space="preserve">) for CONSOB's approval and subsequent publication. Should said deadline not be met, the offering document (</w:t>
                  </w:r>
                  <w:r>
                    <w:rPr>
                      <w:i/>
                      <w:color w:val="1D1D1B"/>
                    </w:rPr>
                    <w:t xml:space="preserve">Documento di Offerta</w:t>
                  </w:r>
                  <w:r>
                    <w:rPr>
                      <w:color w:val="1D1D1B"/>
                    </w:rPr>
                    <w:t xml:space="preserve">) is declared inadmissible by CONSOB and the bidder may not make a further bid on the same securities of the target company for the following 12 months.</w:t>
                  </w:r>
                </w:p>
                <w:p>
                  <w:pPr>
                    <w:pStyle w:val="BodyText"/>
                  </w:pPr>
                  <w:r>
                    <w:br/>
                  </w:r>
                  <w:r>
                    <w:br/>
                  </w:r>
                  <w:r>
                    <w:br/>
                  </w:r>
                </w:p>
                <w:p>
                  <w:pPr>
                    <w:pStyle w:val="BodyText"/>
                  </w:pPr>
                  <w:r>
                    <w:rPr>
                      <w:b/>
                    </w:rPr>
                    <w:t xml:space="preserve">3.7 Early disclosures – Put-up or shut-up</w:t>
                  </w:r>
                </w:p>
                <w:p>
                  <w:pPr>
                    <w:pStyle w:val="BodyText"/>
                  </w:pPr>
                  <w:r>
                    <w:t xml:space="preserve">No put-up or shut-up rule applies in Italy. Nevertheless, if there are rumors or leaks that a (potential) bidder intends (or may be required) to launch a public takeover bid – even though such (potential) bidder has not yet publicly disclosed such intention (or requirement) – and the trading performance of the securities involved is affected, CONSOB may request such (potential) bidder to disclose information and documents in order to inform the general public.</w:t>
                  </w:r>
                </w:p>
                <w:p>
                  <w:pPr>
                    <w:pStyle w:val="BodyText"/>
                  </w:pPr>
                  <w:r>
                    <w:rPr>
                      <w:b/>
                    </w:rPr>
                    <w:t xml:space="preserve">3.8 Due diligence</w:t>
                  </w:r>
                </w:p>
                <w:p>
                  <w:pPr>
                    <w:pStyle w:val="BodyText"/>
                  </w:pPr>
                  <w:r>
                    <w:t xml:space="preserve">Italian public takeover bid rules do not contain any specific rules regarding the conduct of pre-bid due diligence on the target company. In general terms, such due diligence is accepted in the market and also by CONSOB, although appropriate mechanisms must be put in place to avoid potential market abuse and early disclosure implications. These include the use of strict confidentiality procedures and data rooms.</w:t>
                  </w:r>
                </w:p>
                <w:p>
                  <w:pPr>
                    <w:pStyle w:val="BodyText"/>
                  </w:pPr>
                  <w:r>
                    <w:rPr>
                      <w:b/>
                    </w:rPr>
                    <w:t xml:space="preserve">3.9 Acting in concert</w:t>
                  </w:r>
                </w:p>
                <w:p>
                  <w:pPr>
                    <w:pStyle w:val="BodyText"/>
                  </w:pPr>
                  <w:r>
                    <w:t xml:space="preserve">For the purpose of the Italian takeover bid rules, the definition of persons acting "</w:t>
                  </w:r>
                  <w:r>
                    <w:rPr>
                      <w:i/>
                    </w:rPr>
                    <w:t xml:space="preserve">in concert</w:t>
                  </w:r>
                  <w:r>
                    <w:t xml:space="preserve">" is set forth in the applicable provisions of the IFA, which:</w:t>
                  </w:r>
                </w:p>
                <w:p>
                  <w:pPr>
                    <w:pStyle w:val="BodyText"/>
                  </w:pPr>
                  <w:pPr>
                    <w:pStyle w:val="ListParagraph"/>
                    <w:numPr>
                      <w:ilvl w:val="0"/>
                      <w:numId w:val="42"/>
                    </w:numPr>
                  </w:pPr>
                  <w:r>
                    <w:t xml:space="preserve">provides a general definition of persons acting "</w:t>
                  </w:r>
                  <w:r>
                    <w:rPr>
                      <w:i/>
                    </w:rPr>
                    <w:t xml:space="preserve">in concert</w:t>
                  </w:r>
                  <w:r>
                    <w:t xml:space="preserve">" as including persons who co-operate on the basis of an agreement in order to (i) obtain, maintain or strengthen the control over a target company, or (ii) hinder the success of a takeover bid launched with respect to a target company. This is regardless of whether such agreement is express or tacit, oral or formalized in a written form, valid and binding or invalid and with no effect;</w:t>
                  </w:r>
                </w:p>
                <w:p>
                  <w:pPr>
                    <w:pStyle w:val="BodyText"/>
                  </w:pPr>
                  <w:pPr>
                    <w:pStyle w:val="ListParagraph"/>
                    <w:numPr>
                      <w:ilvl w:val="0"/>
                      <w:numId w:val="42"/>
                    </w:numPr>
                  </w:pPr>
                  <w:r>
                    <w:t xml:space="preserve">provides for a set of non-rebuttable presumptions, whereby persons meeting certain factual requirements and/or carrying out certain conduct are conclusively deemed to be acting in concert. Such persons are:</w:t>
                  </w:r>
                </w:p>
                <w:p>
                  <w:pPr>
                    <w:pStyle w:val="BodyText"/>
                  </w:pPr>
                  <w:pPr>
                    <w:pStyle w:val="ListParagraph"/>
                    <w:numPr>
                      <w:ilvl w:val="1"/>
                      <w:numId w:val="43"/>
                    </w:numPr>
                    <w:ind w:left="1560"/>
                  </w:pPr>
                  <w:r>
                    <w:t xml:space="preserve">the parties to an agreement, even if void, which:</w:t>
                  </w:r>
                </w:p>
                <w:p>
                  <w:pPr>
                    <w:pStyle w:val="BodyText"/>
                  </w:pPr>
                  <w:pPr>
                    <w:pStyle w:val="ListParagraph"/>
                    <w:numPr>
                      <w:ilvl w:val="2"/>
                      <w:numId w:val="44"/>
                    </w:numPr>
                    <w:ind w:left="2340"/>
                  </w:pPr>
                  <w:r>
                    <w:t xml:space="preserve">concerns the exercise of voting rights in companies with securities listed on a regulated market or in their parent companies;</w:t>
                  </w:r>
                </w:p>
                <w:p>
                  <w:pPr>
                    <w:pStyle w:val="BodyText"/>
                  </w:pPr>
                  <w:pPr>
                    <w:pStyle w:val="ListParagraph"/>
                    <w:numPr>
                      <w:ilvl w:val="2"/>
                      <w:numId w:val="44"/>
                    </w:numPr>
                    <w:ind w:left="2340"/>
                  </w:pPr>
                  <w:r>
                    <w:t xml:space="preserve">imposes consultation obligations prior to exercising voting rights in companies with securities listed on a regulated market or in their parent companies;</w:t>
                  </w:r>
                </w:p>
                <w:p>
                  <w:pPr>
                    <w:pStyle w:val="BodyText"/>
                  </w:pPr>
                  <w:pPr>
                    <w:pStyle w:val="ListParagraph"/>
                    <w:numPr>
                      <w:ilvl w:val="2"/>
                      <w:numId w:val="44"/>
                    </w:numPr>
                    <w:ind w:left="2340"/>
                  </w:pPr>
                  <w:r>
                    <w:t xml:space="preserve">restricts the transfer of securities (or of financial instruments that entitle their holders to buy or subscribe for the same securities) in companies with securities listed on a regulated market or in their parent companies;</w:t>
                  </w:r>
                </w:p>
                <w:p>
                  <w:pPr>
                    <w:pStyle w:val="BodyText"/>
                  </w:pPr>
                  <w:pPr>
                    <w:pStyle w:val="ListParagraph"/>
                    <w:numPr>
                      <w:ilvl w:val="2"/>
                      <w:numId w:val="44"/>
                    </w:numPr>
                    <w:ind w:left="2340"/>
                  </w:pPr>
                  <w:r>
                    <w:t xml:space="preserve">provides for the purchase of securities (or of financial instruments that entitle their holders to buy or subscribe for the same securities) in companies with securities listed on a regulated market or in their parent companies; and</w:t>
                  </w:r>
                </w:p>
                <w:p>
                  <w:pPr>
                    <w:pStyle w:val="BodyText"/>
                  </w:pPr>
                  <w:pPr>
                    <w:pStyle w:val="ListParagraph"/>
                    <w:numPr>
                      <w:ilvl w:val="2"/>
                      <w:numId w:val="44"/>
                    </w:numPr>
                    <w:ind w:left="2340"/>
                  </w:pPr>
                  <w:r>
                    <w:t xml:space="preserve">has, as its purpose or effect, the exercise of a dominant influence (as defined in Section 2359 of the Italian Civil Code) on companies with securities listed on a regulated market or on their parent companies.</w:t>
                  </w:r>
                </w:p>
                <w:p>
                  <w:pPr>
                    <w:pStyle w:val="BodyText"/>
                  </w:pPr>
                  <w:pPr>
                    <w:pStyle w:val="ListParagraph"/>
                    <w:numPr>
                      <w:ilvl w:val="1"/>
                      <w:numId w:val="43"/>
                    </w:numPr>
                    <w:ind w:left="1560"/>
                  </w:pPr>
                  <w:r>
                    <w:t xml:space="preserve">an entity, its parent company and its subsidiaries;</w:t>
                  </w:r>
                </w:p>
                <w:p>
                  <w:pPr>
                    <w:pStyle w:val="BodyText"/>
                  </w:pPr>
                  <w:pPr>
                    <w:pStyle w:val="ListParagraph"/>
                    <w:numPr>
                      <w:ilvl w:val="1"/>
                      <w:numId w:val="43"/>
                    </w:numPr>
                    <w:ind w:left="1560"/>
                  </w:pPr>
                  <w:r>
                    <w:t xml:space="preserve">companies subject to joint control; and</w:t>
                  </w:r>
                </w:p>
                <w:p>
                  <w:pPr>
                    <w:pStyle w:val="BodyText"/>
                  </w:pPr>
                  <w:pPr>
                    <w:pStyle w:val="ListParagraph"/>
                    <w:numPr>
                      <w:ilvl w:val="1"/>
                      <w:numId w:val="43"/>
                    </w:numPr>
                    <w:ind w:left="1560"/>
                  </w:pPr>
                  <w:r>
                    <w:t xml:space="preserve">a company and its directors or general managers.</w:t>
                  </w:r>
                </w:p>
                <w:p>
                  <w:pPr>
                    <w:pStyle w:val="BodyText"/>
                  </w:pPr>
                  <w:pPr>
                    <w:pStyle w:val="ListParagraph"/>
                    <w:numPr>
                      <w:ilvl w:val="0"/>
                      <w:numId w:val="42"/>
                    </w:numPr>
                  </w:pPr>
                  <w:r>
                    <w:t xml:space="preserve">delegates to CONSOB the authority to identify certain factual circumstances whereby persons are presumed to be acting in concert, unless they are able to provide evidence to the contrary. More specifically, according to CONSOB Resolution No. 11971/99:</w:t>
                  </w:r>
                </w:p>
                <w:p>
                  <w:pPr>
                    <w:pStyle w:val="BodyText"/>
                  </w:pPr>
                  <w:pPr>
                    <w:pStyle w:val="ListParagraph"/>
                    <w:numPr>
                      <w:ilvl w:val="1"/>
                      <w:numId w:val="45"/>
                    </w:numPr>
                    <w:ind w:left="1560"/>
                  </w:pPr>
                  <w:r>
                    <w:t xml:space="preserve">a party, their spouse, cohabiting partner, persons related by consanguinity or affinity, and direct relatives and relatives up to the second degree, and children of their spouse or cohabiting partner; and/or</w:t>
                  </w:r>
                </w:p>
                <w:p>
                  <w:pPr>
                    <w:pStyle w:val="BodyText"/>
                  </w:pPr>
                  <w:pPr>
                    <w:pStyle w:val="ListParagraph"/>
                    <w:numPr>
                      <w:ilvl w:val="1"/>
                      <w:numId w:val="45"/>
                    </w:numPr>
                    <w:ind w:left="1560"/>
                  </w:pPr>
                  <w:r>
                    <w:t xml:space="preserve">a party and their financial advisers for transactions relating to the issuer, where said advisers (or companies belonging to their group) have purchased securities of the issuer outside the scope of their trading activity (as ordinarily carried out and at arm’s length) on their own behalf, after their appointment or during the month prior to such appointment, are presumed to be acting in concert unless they can prove the contrary.</w:t>
                  </w:r>
                </w:p>
                <w:p>
                  <w:pPr>
                    <w:pStyle w:val="BodyText"/>
                  </w:pPr>
                  <w:r>
                    <w:t xml:space="preserve">The concept of persons acting in concert is very broad, and in practice issues may arise in determining whether or not persons actually act in concert. This is especially relevant in relation to mandatory takeover bids. If the conditions and/or presumptions referred to above are satisfied and one or more persons in a group of persons acting in concert acquire voting securities, as a result of which the aforesaid group in the aggregate would pass the relevant triggering threshold, all members of the group will be jointly and severally liable to launch a mandatory takeover bid, even though the single member does not individually pass the relevant triggering threshold.</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Effecting a Takeover</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 Effecting a Takeover</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January 2025, unless otherwise noted]</w:t>
                  </w:r>
                </w:p>
                <w:p>
                  <w:pPr>
                    <w:pStyle w:val="BodyText"/>
                  </w:pPr>
                  <w:r>
                    <w:rPr>
                      <w:b/>
                    </w:rPr>
                    <w:t xml:space="preserve">4.1 Types of takeover bids</w:t>
                  </w:r>
                </w:p>
                <w:p>
                  <w:pPr>
                    <w:pStyle w:val="BodyText"/>
                  </w:pPr>
                  <w:r>
                    <w:t xml:space="preserve">There are two main forms of takeover bids in Italy:</w:t>
                  </w:r>
                </w:p>
                <w:p>
                  <w:pPr>
                    <w:pStyle w:val="BodyText"/>
                  </w:pPr>
                  <w:pPr>
                    <w:pStyle w:val="ListParagraph"/>
                    <w:numPr>
                      <w:ilvl w:val="0"/>
                      <w:numId w:val="25"/>
                    </w:numPr>
                  </w:pPr>
                  <w:r>
                    <w:t xml:space="preserve">a voluntary takeover bid, in which a bidder voluntarily makes an offer for all or part of the outstanding voting securities issued by the target company; and</w:t>
                  </w:r>
                </w:p>
                <w:p>
                  <w:pPr>
                    <w:pStyle w:val="BodyText"/>
                  </w:pPr>
                  <w:pPr>
                    <w:pStyle w:val="ListParagraph"/>
                    <w:numPr>
                      <w:ilvl w:val="0"/>
                      <w:numId w:val="25"/>
                    </w:numPr>
                  </w:pPr>
                  <w:r>
                    <w:t xml:space="preserve">a mandatory takeover bid, in which an investor is required to make an offer for the purchase of all outstanding voting securities of a listed target company if:</w:t>
                  </w:r>
                </w:p>
                <w:p>
                  <w:pPr>
                    <w:pStyle w:val="BodyText"/>
                  </w:pPr>
                  <w:pPr>
                    <w:pStyle w:val="ListParagraph"/>
                    <w:numPr>
                      <w:ilvl w:val="1"/>
                      <w:numId w:val="26"/>
                    </w:numPr>
                    <w:ind w:left="1560"/>
                  </w:pPr>
                  <w:r>
                    <w:t xml:space="preserve">as a result of an acquisition of voting securities of a listed company, such investor crosses – alone or acting in concert with others – a threshold of 30% of the voting securities of such company ("</w:t>
                  </w:r>
                  <w:r>
                    <w:rPr>
                      <w:b/>
                    </w:rPr>
                    <w:t xml:space="preserve">30% Threshold</w:t>
                  </w:r>
                  <w:r>
                    <w:t xml:space="preserve">"), which threshold is reduced to 25% if such company does not qualify as an SME and no other person owns a greater participation ("</w:t>
                  </w:r>
                  <w:r>
                    <w:rPr>
                      <w:b/>
                    </w:rPr>
                    <w:t xml:space="preserve">25% Reduced Threshold</w:t>
                  </w:r>
                  <w:r>
                    <w:t xml:space="preserve">"). The articles of association of a listed company that qualifies as an SME may vary the aforesaid 30% threshold to a different percentage ranging from 25% to 40% of the voting securities ("</w:t>
                  </w:r>
                  <w:r>
                    <w:rPr>
                      <w:b/>
                    </w:rPr>
                    <w:t xml:space="preserve">SME Threshold</w:t>
                  </w:r>
                  <w:r>
                    <w:t xml:space="preserve">");</w:t>
                  </w:r>
                </w:p>
                <w:p>
                  <w:pPr>
                    <w:pStyle w:val="BodyText"/>
                  </w:pPr>
                  <w:pPr>
                    <w:pStyle w:val="ListParagraph"/>
                    <w:numPr>
                      <w:ilvl w:val="1"/>
                      <w:numId w:val="26"/>
                    </w:numPr>
                    <w:ind w:left="1560"/>
                  </w:pPr>
                  <w:r>
                    <w:t xml:space="preserve">the investor, who already holds (A) more than the 30% Threshold of a listed company or, in case the listed company qualifies as an SME company, the applicable SME Threshold, but (B), in all cases, less than 50% of the voting securities of such listed company, directly or indirectly acquires more than 5% of the outstanding voting securities of such listed company over any 12 month period;</w:t>
                  </w:r>
                </w:p>
                <w:p>
                  <w:pPr>
                    <w:pStyle w:val="BodyText"/>
                  </w:pPr>
                  <w:pPr>
                    <w:pStyle w:val="ListParagraph"/>
                    <w:numPr>
                      <w:ilvl w:val="1"/>
                      <w:numId w:val="26"/>
                    </w:numPr>
                    <w:ind w:left="1560"/>
                  </w:pPr>
                  <w:r>
                    <w:t xml:space="preserve">the investor crosses the 30% Threshold (or the 25% Reduced Takeover Threshold or the applicable SME Takeover Threshold, as the case may be) by acquiring voting securities of another company (whether listed or not), the main assets of which consist of the voting securities held in the listed target</w:t>
                  </w:r>
                </w:p>
                <w:p>
                  <w:pPr>
                    <w:pStyle w:val="BodyText"/>
                  </w:pPr>
                  <w:r>
                    <w:t xml:space="preserve">With regard to the obligation to launch a mandatory takeover bid for any violation of the restrictions to acquire voting securities in the target company after the takeover bid period, see under 7.4 below.</w:t>
                  </w:r>
                </w:p>
                <w:p>
                  <w:pPr>
                    <w:pStyle w:val="BodyText"/>
                  </w:pPr>
                  <w:r>
                    <w:t xml:space="preserve">Generally speaking, in the context of a mandatory takeover bid:</w:t>
                  </w:r>
                </w:p>
                <w:p>
                  <w:pPr>
                    <w:pStyle w:val="BodyText"/>
                  </w:pPr>
                  <w:pPr>
                    <w:pStyle w:val="ListParagraph"/>
                    <w:numPr>
                      <w:ilvl w:val="0"/>
                      <w:numId w:val="27"/>
                    </w:numPr>
                  </w:pPr>
                  <w:r>
                    <w:t xml:space="preserve">the bidder must address its offer without distinction to all the holders of voting securities;</w:t>
                  </w:r>
                </w:p>
                <w:p>
                  <w:pPr>
                    <w:pStyle w:val="BodyText"/>
                  </w:pPr>
                  <w:pPr>
                    <w:pStyle w:val="ListParagraph"/>
                    <w:numPr>
                      <w:ilvl w:val="0"/>
                      <w:numId w:val="27"/>
                    </w:numPr>
                  </w:pPr>
                  <w:r>
                    <w:t xml:space="preserve">the consideration is determined according to criteria set forth in the law; and</w:t>
                  </w:r>
                </w:p>
                <w:p>
                  <w:pPr>
                    <w:pStyle w:val="BodyText"/>
                  </w:pPr>
                  <w:pPr>
                    <w:pStyle w:val="ListParagraph"/>
                    <w:numPr>
                      <w:ilvl w:val="0"/>
                      <w:numId w:val="27"/>
                    </w:numPr>
                  </w:pPr>
                  <w:r>
                    <w:t xml:space="preserve">the bid is unconditional.</w:t>
                  </w:r>
                </w:p>
                <w:p>
                  <w:pPr>
                    <w:pStyle w:val="BodyText"/>
                  </w:pPr>
                  <w:r>
                    <w:t xml:space="preserve">On the contrary, in the context of a voluntary takeover bid:</w:t>
                  </w:r>
                </w:p>
                <w:p>
                  <w:pPr>
                    <w:pStyle w:val="BodyText"/>
                  </w:pPr>
                  <w:pPr>
                    <w:pStyle w:val="ListParagraph"/>
                    <w:numPr>
                      <w:ilvl w:val="0"/>
                      <w:numId w:val="28"/>
                    </w:numPr>
                  </w:pPr>
                  <w:r>
                    <w:t xml:space="preserve">the bidder is free to make the takeover bid;</w:t>
                  </w:r>
                </w:p>
                <w:p>
                  <w:pPr>
                    <w:pStyle w:val="BodyText"/>
                  </w:pPr>
                  <w:pPr>
                    <w:pStyle w:val="ListParagraph"/>
                    <w:numPr>
                      <w:ilvl w:val="0"/>
                      <w:numId w:val="28"/>
                    </w:numPr>
                  </w:pPr>
                  <w:r>
                    <w:t xml:space="preserve">the bidder is in principle free to determine, among other things, the quantity of the voting securities it intends to purchase and the consideration it intends to pay; and</w:t>
                  </w:r>
                </w:p>
                <w:p>
                  <w:pPr>
                    <w:pStyle w:val="BodyText"/>
                  </w:pPr>
                  <w:pPr>
                    <w:pStyle w:val="ListParagraph"/>
                    <w:numPr>
                      <w:ilvl w:val="0"/>
                      <w:numId w:val="28"/>
                    </w:numPr>
                  </w:pPr>
                  <w:r>
                    <w:t xml:space="preserve">the bidder may subject the offer to certain conditions precedent.</w:t>
                  </w:r>
                </w:p>
                <w:p>
                  <w:pPr>
                    <w:pStyle w:val="BodyText"/>
                  </w:pPr>
                  <w:r>
                    <w:t xml:space="preserve">While voluntary and mandatory takeover bids share some common features, they also present some differences.</w:t>
                  </w:r>
                </w:p>
                <w:p>
                  <w:pPr>
                    <w:pStyle w:val="BodyText"/>
                  </w:pPr>
                  <w:r>
                    <w:t xml:space="preserve">In particular, with regard to the similarities, in both scenarios:</w:t>
                  </w:r>
                </w:p>
                <w:p>
                  <w:pPr>
                    <w:pStyle w:val="BodyText"/>
                  </w:pPr>
                  <w:pPr>
                    <w:pStyle w:val="ListParagraph"/>
                    <w:numPr>
                      <w:ilvl w:val="0"/>
                      <w:numId w:val="29"/>
                    </w:numPr>
                  </w:pPr>
                  <w:r>
                    <w:t xml:space="preserve">the offer, once launched, is irrevocable;</w:t>
                  </w:r>
                </w:p>
                <w:p>
                  <w:pPr>
                    <w:pStyle w:val="BodyText"/>
                  </w:pPr>
                  <w:pPr>
                    <w:pStyle w:val="ListParagraph"/>
                    <w:numPr>
                      <w:ilvl w:val="0"/>
                      <w:numId w:val="29"/>
                    </w:numPr>
                  </w:pPr>
                  <w:r>
                    <w:t xml:space="preserve">the bidder must offer the same consideration to all the holders of voting securities of the same class;</w:t>
                  </w:r>
                </w:p>
                <w:p>
                  <w:pPr>
                    <w:pStyle w:val="BodyText"/>
                  </w:pPr>
                  <w:pPr>
                    <w:pStyle w:val="ListParagraph"/>
                    <w:numPr>
                      <w:ilvl w:val="0"/>
                      <w:numId w:val="29"/>
                    </w:numPr>
                  </w:pPr>
                  <w:r>
                    <w:t xml:space="preserve">prior to launching the offer, the bidder must ensure that it can fulfil the obligation to pay the overall consideration assuming full acceptance of the offer;</w:t>
                  </w:r>
                </w:p>
                <w:p>
                  <w:pPr>
                    <w:pStyle w:val="BodyText"/>
                  </w:pPr>
                  <w:pPr>
                    <w:pStyle w:val="ListParagraph"/>
                    <w:numPr>
                      <w:ilvl w:val="0"/>
                      <w:numId w:val="29"/>
                    </w:numPr>
                  </w:pPr>
                  <w:r>
                    <w:t xml:space="preserve">the bidder must immediately submit the Initial Notice to CONSOB (concerning the decision to launch a voluntary takeover bid or the obligation to launch a mandatory takeover bid). At the same time, the bidder must publicly disclose such decision or obligation;</w:t>
                  </w:r>
                </w:p>
                <w:p>
                  <w:pPr>
                    <w:pStyle w:val="BodyText"/>
                  </w:pPr>
                  <w:pPr>
                    <w:pStyle w:val="ListParagraph"/>
                    <w:numPr>
                      <w:ilvl w:val="0"/>
                      <w:numId w:val="29"/>
                    </w:numPr>
                  </w:pPr>
                  <w:r>
                    <w:t xml:space="preserve">the bidder must file an offering document (</w:t>
                  </w:r>
                  <w:r>
                    <w:rPr>
                      <w:i/>
                    </w:rPr>
                    <w:t xml:space="preserve">Documento di Offerta</w:t>
                  </w:r>
                  <w:r>
                    <w:t xml:space="preserve">) concerning the bid with CONSOB for the latter's approval within 20 days following the date of the Initial Notice referred to above;</w:t>
                  </w:r>
                </w:p>
                <w:p>
                  <w:pPr>
                    <w:pStyle w:val="BodyText"/>
                  </w:pPr>
                  <w:pPr>
                    <w:pStyle w:val="ListParagraph"/>
                    <w:numPr>
                      <w:ilvl w:val="0"/>
                      <w:numId w:val="29"/>
                    </w:numPr>
                  </w:pPr>
                  <w:r>
                    <w:t xml:space="preserve">the board of directors of the target company must issue a statement where it gives its views on the adequacy of the consideration offered and the effects of a successful completion of the takeover on (i) the interests of the target company; (ii) employment and conditions of employment at target company level; and (iii) continued operations at existing sites;</w:t>
                  </w:r>
                </w:p>
                <w:p>
                  <w:pPr>
                    <w:pStyle w:val="BodyText"/>
                  </w:pPr>
                  <w:pPr>
                    <w:pStyle w:val="ListParagraph"/>
                    <w:numPr>
                      <w:ilvl w:val="0"/>
                      <w:numId w:val="29"/>
                    </w:numPr>
                  </w:pPr>
                  <w:r>
                    <w:t xml:space="preserve">transparency and fair conduct rules, as set forth by CONSOB Resolution No. 11971/99, apply from the Initial Notice to CONSOB until the date set for payment of the consideration;</w:t>
                  </w:r>
                </w:p>
                <w:p>
                  <w:pPr>
                    <w:pStyle w:val="BodyText"/>
                  </w:pPr>
                  <w:pPr>
                    <w:pStyle w:val="ListParagraph"/>
                    <w:numPr>
                      <w:ilvl w:val="0"/>
                      <w:numId w:val="29"/>
                    </w:numPr>
                  </w:pPr>
                  <w:r>
                    <w:t xml:space="preserve">the "best price rule" applies, i.e., if during the period between the Initial Notice and the date of payment of the consideration offered by the bidder of a takeover bid, the bidder or any persons acting in concert with it acquire, directly or indirectly, outside of the bid voting securities that are the subject of the bid at a price higher than the offered price, the offered price must be revised to reflect such higher price; and</w:t>
                  </w:r>
                </w:p>
                <w:p>
                  <w:pPr>
                    <w:pStyle w:val="BodyText"/>
                  </w:pPr>
                  <w:pPr>
                    <w:pStyle w:val="ListParagraph"/>
                    <w:numPr>
                      <w:ilvl w:val="0"/>
                      <w:numId w:val="29"/>
                    </w:numPr>
                  </w:pPr>
                  <w:r>
                    <w:t xml:space="preserve">following either a voluntary takeover bid or a mandatory takeover bid for the entire share capital of an Italian listed company: </w:t>
                  </w:r>
                </w:p>
                <w:p>
                  <w:pPr>
                    <w:pStyle w:val="BodyText"/>
                  </w:pPr>
                  <w:pPr>
                    <w:pStyle w:val="ListParagraph"/>
                    <w:numPr>
                      <w:ilvl w:val="1"/>
                      <w:numId w:val="30"/>
                    </w:numPr>
                    <w:ind w:left="1560"/>
                  </w:pPr>
                  <w:r>
                    <w:t xml:space="preserve">if the bidder ends up holding more than 90% of the voting securities of the target company, the so-called "</w:t>
                  </w:r>
                  <w:r>
                    <w:rPr>
                      <w:i/>
                    </w:rPr>
                    <w:t xml:space="preserve">sell- out right</w:t>
                  </w:r>
                  <w:r>
                    <w:t xml:space="preserve">" arise in favor of the remaining shareholders of the target company (see under 7 below); </w:t>
                  </w:r>
                </w:p>
                <w:p>
                  <w:pPr>
                    <w:pStyle w:val="BodyText"/>
                  </w:pPr>
                  <w:pPr>
                    <w:pStyle w:val="ListParagraph"/>
                    <w:numPr>
                      <w:ilvl w:val="1"/>
                      <w:numId w:val="30"/>
                    </w:numPr>
                    <w:ind w:left="1560"/>
                  </w:pPr>
                  <w:r>
                    <w:t xml:space="preserve">if the bidder ends up holding at least 95% of the voting securities of the target company, the so-called "</w:t>
                  </w:r>
                  <w:r>
                    <w:rPr>
                      <w:i/>
                    </w:rPr>
                    <w:t xml:space="preserve">sell- out right</w:t>
                  </w:r>
                  <w:r>
                    <w:t xml:space="preserve">" and the so-called "</w:t>
                  </w:r>
                  <w:r>
                    <w:rPr>
                      <w:i/>
                    </w:rPr>
                    <w:t xml:space="preserve">squeeze-out right</w:t>
                  </w:r>
                  <w:r>
                    <w:t xml:space="preserve">" arise in favor of the remaining shareholders of the target company and the bidder, respectively (see under 7 below).</w:t>
                  </w:r>
                </w:p>
                <w:p>
                  <w:pPr>
                    <w:pStyle w:val="BodyText"/>
                  </w:pPr>
                  <w:r>
                    <w:rPr>
                      <w:b/>
                    </w:rPr>
                    <w:t xml:space="preserve">4.2 </w:t>
                  </w:r>
                  <w:r>
                    <w:rPr>
                      <w:b/>
                    </w:rPr>
                    <w:t xml:space="preserve">Differences between voluntary and mandatory takeover bids</w:t>
                  </w:r>
                </w:p>
                <w:p>
                  <w:pPr>
                    <w:pStyle w:val="BodyText"/>
                  </w:pPr>
                  <w:r>
                    <w:t xml:space="preserve">The main differences between a voluntary and a mandatory takeover bid are summarized in the following table:</w:t>
                  </w:r>
                </w:p>
                <w:tbl>
                  <w:pPr>
                    <w:pStyle w:val="BodyText"/>
                  </w:pPr>
                  <w:tblPr>
                    <w:tblStyle w:val="TableGrid"/>
                    <w:tblW w:w="5000" w:type="pct"/>
                  </w:tblPr>
                  <w:tblGrid>
                    <w:gridCol/>
                    <w:gridCol/>
                    <w:gridCol/>
                  </w:tblGrid>
                  <w:tr>
                    <w:tc>
                      <w:tcPr>
                        <w:vAlign w:val="top"/>
                        <w:vAlign w:val="center"/>
                      </w:tcPr>
                      <w:p>
                        <w:r>
                          <w:t xml:space="preserve"> </w:t>
                        </w:r>
                      </w:p>
                    </w:tc>
                    <w:tc>
                      <w:tcPr>
                        <w:tcW w:w="2603.34" w:type="pct"/>
                        <w:vAlign w:val="center"/>
                      </w:tcPr>
                      <w:p>
                        <w:r>
                          <w:rPr>
                            <w:b/>
                          </w:rPr>
                          <w:t xml:space="preserve">Mandatory takeover bids</w:t>
                        </w:r>
                      </w:p>
                    </w:tc>
                    <w:tc>
                      <w:tcPr>
                        <w:tcW w:w="976.255" w:type="pct"/>
                        <w:vAlign w:val="center"/>
                      </w:tcPr>
                      <w:p>
                        <w:r>
                          <w:rPr>
                            <w:b/>
                          </w:rPr>
                          <w:t xml:space="preserve">Voluntary takeover bids</w:t>
                        </w:r>
                      </w:p>
                    </w:tc>
                  </w:tr>
                  <w:tr>
                    <w:tc>
                      <w:tcPr>
                        <w:vAlign w:val="top"/>
                        <w:vAlign w:val="center"/>
                      </w:tcPr>
                      <w:p>
                        <w:r>
                          <w:rPr>
                            <w:b/>
                          </w:rPr>
                          <w:t xml:space="preserve">Consideration</w:t>
                        </w:r>
                      </w:p>
                    </w:tc>
                    <w:tc>
                      <w:tcPr>
                        <w:vAlign w:val="top"/>
                        <w:vAlign w:val="center"/>
                      </w:tcPr>
                      <w:p>
                        <w:r>
                          <w:t xml:space="preserve">The minimum price must not be lower than the highest price paid by the bidder (and any person acting in concert) for voting securities of the target company in the 12 month period prior to the Initial Notice.</w:t>
                        </w:r>
                      </w:p>
                      <w:p>
                        <w:r>
                          <w:t xml:space="preserve">If no purchases of voting securities of the target company were made in the aforesaid 12 month period, the price must not be lower than the weighted average trading price for the voting securities of the target company during the 12 months prior to the Initial Notice.</w:t>
                        </w:r>
                      </w:p>
                      <w:p>
                        <w:r>
                          <w:t xml:space="preserve">Exceptions to the foregoing are regulated by CONSOB.</w:t>
                        </w:r>
                      </w:p>
                    </w:tc>
                    <w:tc>
                      <w:tcPr>
                        <w:vAlign w:val="top"/>
                        <w:vAlign w:val="center"/>
                      </w:tcPr>
                      <w:p>
                        <w:r>
                          <w:t xml:space="preserve">Determined by the bidder, except when the best price rule applies.</w:t>
                        </w:r>
                      </w:p>
                    </w:tc>
                  </w:tr>
                  <w:tr>
                    <w:tc>
                      <w:tcPr>
                        <w:vAlign w:val="top"/>
                        <w:vAlign w:val="center"/>
                      </w:tcPr>
                      <w:p>
                        <w:r>
                          <w:rPr>
                            <w:b/>
                          </w:rPr>
                          <w:t xml:space="preserve">Conditions precedent</w:t>
                        </w:r>
                      </w:p>
                    </w:tc>
                    <w:tc>
                      <w:tcPr>
                        <w:vAlign w:val="top"/>
                        <w:vAlign w:val="center"/>
                      </w:tcPr>
                      <w:p>
                        <w:r>
                          <w:t xml:space="preserve">The offer is unconditional</w:t>
                        </w:r>
                      </w:p>
                    </w:tc>
                    <w:tc>
                      <w:tcPr>
                        <w:vAlign w:val="top"/>
                        <w:vAlign w:val="center"/>
                      </w:tcPr>
                      <w:p>
                        <w:r>
                          <w:t xml:space="preserve">The offer may be subject to certain conditions (such as a minimum acceptance level, MAC clauses relating to the target, war clause, financial covenants, non-insolvency clauses, etc.), but may not be subject to conditions whose occurrence is solely within the bidder’s discretion.</w:t>
                        </w:r>
                      </w:p>
                    </w:tc>
                  </w:tr>
                  <w:tr>
                    <w:tc>
                      <w:tcPr>
                        <w:vAlign w:val="top"/>
                        <w:vAlign w:val="center"/>
                      </w:tcPr>
                      <w:p>
                        <w:r>
                          <w:rPr>
                            <w:b/>
                          </w:rPr>
                          <w:t xml:space="preserve">Acceptance period</w:t>
                        </w:r>
                      </w:p>
                    </w:tc>
                    <w:tc>
                      <w:tcPr>
                        <w:vAlign w:val="top"/>
                        <w:vAlign w:val="center"/>
                      </w:tcPr>
                      <w:p>
                        <w:r>
                          <w:t xml:space="preserve">Between 15 and 25 trading days (but may be reopened)</w:t>
                        </w:r>
                      </w:p>
                    </w:tc>
                    <w:tc>
                      <w:tcPr>
                        <w:vAlign w:val="top"/>
                        <w:vAlign w:val="center"/>
                      </w:tcPr>
                      <w:p>
                        <w:r>
                          <w:t xml:space="preserve">Between 15 and 40 trading days (but may be reopened).</w:t>
                        </w:r>
                      </w:p>
                    </w:tc>
                  </w:tr>
                  <w:tr>
                    <w:tc>
                      <w:tcPr>
                        <w:vAlign w:val="top"/>
                        <w:vAlign w:val="center"/>
                      </w:tcPr>
                      <w:p>
                        <w:r>
                          <w:rPr>
                            <w:b/>
                          </w:rPr>
                          <w:t xml:space="preserve">Pro rata rule</w:t>
                        </w:r>
                      </w:p>
                    </w:tc>
                    <w:tc>
                      <w:tcPr>
                        <w:vAlign w:val="top"/>
                        <w:vAlign w:val="center"/>
                      </w:tcPr>
                      <w:p>
                        <w:r>
                          <w:t xml:space="preserve">N/A</w:t>
                        </w:r>
                      </w:p>
                    </w:tc>
                    <w:tc>
                      <w:tcPr>
                        <w:vAlign w:val="top"/>
                        <w:vAlign w:val="center"/>
                      </w:tcPr>
                      <w:p>
                        <w:r>
                          <w:t xml:space="preserve">If only a specified number of voting securities are to be purchased, the bid should provide that tenders will be accepted on a pro rata basis if the number of voting securities tendered exceeds the number of voting securities to be purchased.</w:t>
                        </w:r>
                      </w:p>
                    </w:tc>
                  </w:tr>
                  <w:tr>
                    <w:tc>
                      <w:tcPr>
                        <w:vAlign w:val="top"/>
                        <w:vAlign w:val="center"/>
                      </w:tcPr>
                      <w:p>
                        <w:r>
                          <w:rPr>
                            <w:b/>
                          </w:rPr>
                          <w:t xml:space="preserve">Amendments to the bid</w:t>
                        </w:r>
                      </w:p>
                    </w:tc>
                    <w:tc>
                      <w:tcPr>
                        <w:vAlign w:val="top"/>
                        <w:vAlign w:val="center"/>
                      </w:tcPr>
                      <w:p>
                        <w:r>
                          <w:t xml:space="preserve">N/A</w:t>
                        </w:r>
                      </w:p>
                    </w:tc>
                    <w:tc>
                      <w:tcPr>
                        <w:vAlign w:val="top"/>
                        <w:vAlign w:val="center"/>
                      </w:tcPr>
                      <w:p>
                        <w:r>
                          <w:t xml:space="preserve">Only those amendments which result in better terms and conditions of the bid, i.e., a greater consideration offered, are permissible. Reductions in the quantity of voting securities to be purchased are not permitted.</w:t>
                        </w:r>
                      </w:p>
                    </w:tc>
                  </w:tr>
                  <w:tr>
                    <w:tc>
                      <w:tcPr>
                        <w:vAlign w:val="top"/>
                        <w:vAlign w:val="center"/>
                      </w:tcPr>
                      <w:p>
                        <w:r>
                          <w:rPr>
                            <w:b/>
                          </w:rPr>
                          <w:t xml:space="preserve">Competing bids</w:t>
                        </w:r>
                      </w:p>
                    </w:tc>
                    <w:tc>
                      <w:tcPr>
                        <w:vAlign w:val="top"/>
                        <w:vAlign w:val="center"/>
                      </w:tcPr>
                      <w:p>
                        <w:r>
                          <w:t xml:space="preserve">N/A</w:t>
                        </w:r>
                      </w:p>
                    </w:tc>
                    <w:tc>
                      <w:tcPr>
                        <w:vAlign w:val="top"/>
                        <w:vAlign w:val="center"/>
                      </w:tcPr>
                      <w:p>
                        <w:r>
                          <w:t xml:space="preserve">Permissible  up to five trading days before the end of the acceptance period of the prior takeover bid.</w:t>
                        </w:r>
                      </w:p>
                    </w:tc>
                  </w:tr>
                  <w:tr>
                    <w:tc>
                      <w:tcPr>
                        <w:vAlign w:val="top"/>
                        <w:vAlign w:val="center"/>
                      </w:tcPr>
                      <w:p>
                        <w:r>
                          <w:rPr>
                            <w:b/>
                          </w:rPr>
                          <w:t xml:space="preserve">Exemptions</w:t>
                        </w:r>
                      </w:p>
                    </w:tc>
                    <w:tc>
                      <w:tcPr>
                        <w:vAlign w:val="top"/>
                        <w:vAlign w:val="center"/>
                      </w:tcPr>
                      <w:p>
                        <w:r>
                          <w:t xml:space="preserve">The main exemptions to the obligation to launch a mandatory takeover bid apply in the following cases:</w:t>
                        </w:r>
                      </w:p>
                      <w:p>
                        <w:pPr>
                          <w:pStyle w:val="ListParagraph"/>
                          <w:numPr>
                            <w:ilvl w:val="0"/>
                            <w:numId w:val="31"/>
                          </w:numPr>
                        </w:pPr>
                        <w:r>
                          <w:t xml:space="preserve">an investor comes to hold more than 30% of the voting securities as a result of a takeover bid addressed to all the shareholders;</w:t>
                        </w:r>
                      </w:p>
                      <w:p>
                        <w:pPr>
                          <w:pStyle w:val="ListParagraph"/>
                          <w:numPr>
                            <w:ilvl w:val="0"/>
                            <w:numId w:val="31"/>
                          </w:numPr>
                        </w:pPr>
                        <w:r>
                          <w:t xml:space="preserve">another shareholder or other shareholders jointly hold more than 50% of the voting rights of the target;</w:t>
                        </w:r>
                      </w:p>
                      <w:p>
                        <w:pPr>
                          <w:pStyle w:val="ListParagraph"/>
                          <w:numPr>
                            <w:ilvl w:val="0"/>
                            <w:numId w:val="31"/>
                          </w:numPr>
                        </w:pPr>
                        <w:r>
                          <w:t xml:space="preserve">the 30% Threshold (or the 25% Reduced Threshold, where applicable) is exceeded:</w:t>
                        </w:r>
                      </w:p>
                      <w:p>
                        <w:pPr>
                          <w:pStyle w:val="ListParagraph"/>
                          <w:numPr>
                            <w:ilvl w:val="1"/>
                            <w:numId w:val="32"/>
                          </w:numPr>
                          <w:ind w:left="1560"/>
                        </w:pPr>
                        <w:r>
                          <w:t xml:space="preserve">in connection with a recapitalization of the target company (or other intervention aimed at strengthening the target company’s equity) and the target company is in a documented financial distress;</w:t>
                        </w:r>
                      </w:p>
                      <w:p>
                        <w:pPr>
                          <w:pStyle w:val="ListParagraph"/>
                          <w:numPr>
                            <w:ilvl w:val="1"/>
                            <w:numId w:val="32"/>
                          </w:numPr>
                          <w:ind w:left="1560"/>
                        </w:pPr>
                        <w:r>
                          <w:t xml:space="preserve">by intragroup transfers;</w:t>
                        </w:r>
                      </w:p>
                      <w:p>
                        <w:pPr>
                          <w:pStyle w:val="ListParagraph"/>
                          <w:numPr>
                            <w:ilvl w:val="1"/>
                            <w:numId w:val="32"/>
                          </w:numPr>
                          <w:ind w:left="1560"/>
                        </w:pPr>
                        <w:r>
                          <w:t xml:space="preserve">by exercising pre-existing subscription, conversion or pre- emption rights;</w:t>
                        </w:r>
                      </w:p>
                      <w:p>
                        <w:pPr>
                          <w:pStyle w:val="ListParagraph"/>
                          <w:numPr>
                            <w:ilvl w:val="1"/>
                            <w:numId w:val="32"/>
                          </w:numPr>
                          <w:ind w:left="1560"/>
                        </w:pPr>
                        <w:r>
                          <w:t xml:space="preserve">and the investor undertakes to transfer voting securities to unrelated parties or to reduce the voting rights in excess within 12 months and not to exercise the voting rights attaching to the excess securities;</w:t>
                        </w:r>
                      </w:p>
                      <w:p>
                        <w:pPr>
                          <w:pStyle w:val="ListParagraph"/>
                          <w:numPr>
                            <w:ilvl w:val="1"/>
                            <w:numId w:val="32"/>
                          </w:numPr>
                          <w:ind w:left="1560"/>
                        </w:pPr>
                        <w:r>
                          <w:t xml:space="preserve">as a consequence of the purchase of derivative financial instruments, the investor undertakes to transfer derivative instruments or voting securities to unrelated parties in excess within 6 months and not to exercise the voting rights attaching to the excess securities;</w:t>
                        </w:r>
                      </w:p>
                      <w:p>
                        <w:pPr>
                          <w:pStyle w:val="ListParagraph"/>
                          <w:numPr>
                            <w:ilvl w:val="1"/>
                            <w:numId w:val="32"/>
                          </w:numPr>
                          <w:ind w:left="1560"/>
                        </w:pPr>
                        <w:r>
                          <w:t xml:space="preserve">as a consequence of mergers or spin- offs approved by the shareholders’ meeting without the contrary vote of the majority of the attending shareholders, different from, among other things, the shareholder or shareholders which jointly or individually hold an absolute or relative majority shareholding that is over 10% (the so called 'whitewash mechanism');</w:t>
                        </w:r>
                      </w:p>
                      <w:p>
                        <w:pPr>
                          <w:pStyle w:val="ListParagraph"/>
                          <w:numPr>
                            <w:ilvl w:val="1"/>
                            <w:numId w:val="32"/>
                          </w:numPr>
                          <w:ind w:left="1560"/>
                        </w:pPr>
                        <w:r>
                          <w:t xml:space="preserve">as a result of inheritance or donations; and</w:t>
                        </w:r>
                      </w:p>
                      <w:p>
                        <w:pPr>
                          <w:pStyle w:val="ListParagraph"/>
                          <w:numPr>
                            <w:ilvl w:val="1"/>
                            <w:numId w:val="32"/>
                          </w:numPr>
                          <w:ind w:left="1560"/>
                        </w:pPr>
                        <w:r>
                          <w:t xml:space="preserve">as a result of a voluntary takeover bid for at least 60% of the voting securities of the target company (the so-called "</w:t>
                        </w:r>
                        <w:r>
                          <w:rPr>
                            <w:b/>
                          </w:rPr>
                          <w:t xml:space="preserve">Pre-emptive Bid</w:t>
                        </w:r>
                        <w:r>
                          <w:t xml:space="preserve">"), provided that:                     </w:t>
                        </w:r>
                      </w:p>
                      <w:p>
                        <w:pPr>
                          <w:pStyle w:val="ListParagraph"/>
                          <w:numPr>
                            <w:ilvl w:val="2"/>
                            <w:numId w:val="33"/>
                          </w:numPr>
                          <w:ind w:left="2340"/>
                        </w:pPr>
                        <w:r>
                          <w:t xml:space="preserve">the bidder (or persons acting in concert with it) has not purchased more than 1% of the voting securities of the target company in the 12 months prior to or during the Pre-emptive Bid;</w:t>
                        </w:r>
                      </w:p>
                      <w:p>
                        <w:pPr>
                          <w:pStyle w:val="ListParagraph"/>
                          <w:numPr>
                            <w:ilvl w:val="2"/>
                            <w:numId w:val="33"/>
                          </w:numPr>
                          <w:ind w:left="2340"/>
                        </w:pPr>
                        <w:r>
                          <w:t xml:space="preserve">the effectiveness of the Pre-emptive Bid has been made subject to the condition precedent of an approval of shareholders of the target holding a majority of the relevant securities (excluding the shareholding held by the bidder, (ii) the (absolute or relative) majority shareholder where its shareholding exceeds 10%, and (iii) by persons acting in concert with the bidder) (the so-called 'whitewash mechanism'); and</w:t>
                        </w:r>
                      </w:p>
                      <w:p>
                        <w:pPr>
                          <w:pStyle w:val="ListParagraph"/>
                          <w:numPr>
                            <w:ilvl w:val="2"/>
                            <w:numId w:val="33"/>
                          </w:numPr>
                          <w:ind w:left="2340"/>
                        </w:pPr>
                        <w:r>
                          <w:t xml:space="preserve">CONSOB grants the exemption after verifying satisfaction of the conditions above.</w:t>
                        </w:r>
                      </w:p>
                    </w:tc>
                    <w:tc>
                      <w:tcPr>
                        <w:vAlign w:val="top"/>
                        <w:vAlign w:val="center"/>
                      </w:tcPr>
                      <w:p>
                        <w:r>
                          <w:t xml:space="preserve">N/A</w:t>
                        </w:r>
                      </w:p>
                    </w:tc>
                  </w:tr>
                  <w:tr>
                    <w:tc>
                      <w:tcPr>
                        <w:vAlign w:val="top"/>
                        <w:vAlign w:val="center"/>
                      </w:tcPr>
                      <w:p>
                        <w:r>
                          <w:rPr>
                            <w:b/>
                          </w:rPr>
                          <w:t xml:space="preserve">Consequences of a failure to launch the bid</w:t>
                        </w:r>
                      </w:p>
                    </w:tc>
                    <w:tc>
                      <w:tcPr>
                        <w:vAlign w:val="top"/>
                        <w:vAlign w:val="center"/>
                      </w:tcPr>
                      <w:p>
                        <w:pPr>
                          <w:pStyle w:val="ListParagraph"/>
                          <w:numPr>
                            <w:ilvl w:val="0"/>
                            <w:numId w:val="34"/>
                          </w:numPr>
                        </w:pPr>
                        <w:r>
                          <w:t xml:space="preserve">Statutory suspension of the voting rights attached to the all securities held by the bidder (and any persons acting in concert with it) in the target company;</w:t>
                        </w:r>
                      </w:p>
                      <w:p>
                        <w:pPr>
                          <w:pStyle w:val="ListParagraph"/>
                          <w:numPr>
                            <w:ilvl w:val="0"/>
                            <w:numId w:val="34"/>
                          </w:numPr>
                        </w:pPr>
                        <w:r>
                          <w:t xml:space="preserve">the voting securities exceeding the relevant thresholds must be disposed of within 12 months or, alternatively, CONSOB may request the bidder to launch a mandatory takeover bid and set the price thereof; and</w:t>
                        </w:r>
                      </w:p>
                      <w:p>
                        <w:pPr>
                          <w:pStyle w:val="ListParagraph"/>
                          <w:numPr>
                            <w:ilvl w:val="0"/>
                            <w:numId w:val="34"/>
                          </w:numPr>
                        </w:pPr>
                        <w:r>
                          <w:t xml:space="preserve">administrative fines comprised between EUR 25,000 and the total amount payable by the bidder or which would have been payable by the bidder had the takeover bid actually been implemented.</w:t>
                        </w:r>
                      </w:p>
                    </w:tc>
                    <w:tc>
                      <w:tcPr>
                        <w:vAlign w:val="top"/>
                        <w:vAlign w:val="center"/>
                      </w:tcPr>
                      <w:p>
                        <w:r>
                          <w:t xml:space="preserve">N/A</w:t>
                        </w:r>
                      </w:p>
                    </w:tc>
                  </w:tr>
                </w:tbl>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Timeline</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 Timeline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January 2025, unless otherwise noted]</w:t>
                  </w:r>
                </w:p>
                <w:p>
                  <w:pPr>
                    <w:pStyle w:val="BodyText"/>
                  </w:pPr>
                  <w:r>
                    <w:t xml:space="preserve">As a general rule, the takeover bid process for a voluntary public takeover bid is similar to the process that applies to a mandatory public takeover bid, with certain exceptions. Such process – from the initial stage of the offer until the end of the acceptance period – will usually require at least 3 months. Statutory conditions (especially merger control proceedings and state aid notifications) may further delay the process.</w:t>
                  </w:r>
                </w:p>
                <w:p>
                  <w:pPr>
                    <w:pStyle w:val="BodyText"/>
                  </w:pPr>
                  <w:r>
                    <w:t xml:space="preserve">The table below contains an overview of the main steps of a typical voluntary public takeover bid process under Italian law.</w:t>
                  </w:r>
                </w:p>
                <w:tbl>
                  <w:pPr>
                    <w:pStyle w:val="BodyText"/>
                  </w:pPr>
                  <w:tblPr>
                    <w:tblStyle w:val="TableGrid"/>
                    <w:tblW w:w="5000" w:type="pct"/>
                  </w:tblPr>
                  <w:tblGrid>
                    <w:gridCol/>
                    <w:gridCol/>
                  </w:tblGrid>
                  <w:tr>
                    <w:tc>
                      <w:tcPr>
                        <w:vAlign w:val="center"/>
                      </w:tcPr>
                      <w:p>
                        <w:r>
                          <w:rPr>
                            <w:b/>
                          </w:rPr>
                          <w:t xml:space="preserve">Step</w:t>
                        </w:r>
                      </w:p>
                    </w:tc>
                    <w:tc>
                      <w:tcPr>
                        <w:tcW w:w="1500" w:type="pct"/>
                        <w:vAlign w:val="center"/>
                      </w:tcPr>
                      <w:p>
                        <w:r>
                          <w:rPr>
                            <w:b/>
                          </w:rPr>
                          <w:t xml:space="preserve">Timing</w:t>
                        </w:r>
                      </w:p>
                    </w:tc>
                  </w:tr>
                  <w:tr>
                    <w:tc>
                      <w:tcPr>
                        <w:tcW w:w="3500" w:type="pct"/>
                        <w:vAlign w:val="center"/>
                      </w:tcPr>
                      <w:p>
                        <w:r>
                          <w:t xml:space="preserve">1. Preparatory stage:</w:t>
                        </w:r>
                      </w:p>
                      <w:p>
                        <w:pPr>
                          <w:pStyle w:val="ListParagraph"/>
                          <w:numPr>
                            <w:ilvl w:val="0"/>
                            <w:numId w:val="16"/>
                          </w:numPr>
                        </w:pPr>
                        <w:r>
                          <w:t xml:space="preserve">Preparation of the bid by the bidder (study, due diligence, financing, and drafting of offering document (</w:t>
                        </w:r>
                        <w:r>
                          <w:rPr>
                            <w:i/>
                          </w:rPr>
                          <w:t xml:space="preserve">Documento di Offerta</w:t>
                        </w:r>
                        <w:r>
                          <w:t xml:space="preserve">).</w:t>
                        </w:r>
                      </w:p>
                      <w:p>
                        <w:pPr>
                          <w:pStyle w:val="ListParagraph"/>
                          <w:numPr>
                            <w:ilvl w:val="0"/>
                            <w:numId w:val="16"/>
                          </w:numPr>
                        </w:pPr>
                        <w:r>
                          <w:t xml:space="preserve">The bidder approaches the target and/or its key shareholders.</w:t>
                        </w:r>
                      </w:p>
                      <w:p>
                        <w:pPr>
                          <w:pStyle w:val="ListParagraph"/>
                          <w:numPr>
                            <w:ilvl w:val="0"/>
                            <w:numId w:val="16"/>
                          </w:numPr>
                        </w:pPr>
                        <w:r>
                          <w:t xml:space="preserve">Negotiations with the target and/or its key shareholders.</w:t>
                        </w:r>
                      </w:p>
                    </w:tc>
                    <w:tc>
                      <w:tcPr>
                        <w:vAlign w:val="center"/>
                      </w:tcPr>
                      <w:p>
                        <w:r>
                          <w:t xml:space="preserve">T</w:t>
                        </w:r>
                        <w:r>
                          <w:rPr>
                            <w:vertAlign w:val="subscript"/>
                          </w:rPr>
                          <w:t xml:space="preserve">0</w:t>
                        </w:r>
                        <w:r>
                          <w:t xml:space="preserve"> - x days</w:t>
                        </w:r>
                      </w:p>
                    </w:tc>
                  </w:tr>
                  <w:tr>
                    <w:tc>
                      <w:tcPr>
                        <w:vAlign w:val="center"/>
                      </w:tcPr>
                      <w:p>
                        <w:r>
                          <w:t xml:space="preserve">2. Disclosure of the decision to launch a bid:</w:t>
                        </w:r>
                      </w:p>
                      <w:p>
                        <w:pPr>
                          <w:pStyle w:val="ListParagraph"/>
                          <w:numPr>
                            <w:ilvl w:val="0"/>
                            <w:numId w:val="17"/>
                          </w:numPr>
                        </w:pPr>
                        <w:r>
                          <w:t xml:space="preserve">Initial Notice to CONSOB.</w:t>
                        </w:r>
                      </w:p>
                      <w:p>
                        <w:pPr>
                          <w:pStyle w:val="ListParagraph"/>
                          <w:numPr>
                            <w:ilvl w:val="0"/>
                            <w:numId w:val="17"/>
                          </w:numPr>
                        </w:pPr>
                        <w:r>
                          <w:t xml:space="preserve">The bidder must publicly disclose the decision to launch a voluntary takeover bid.</w:t>
                        </w:r>
                      </w:p>
                      <w:p>
                        <w:pPr>
                          <w:pStyle w:val="ListParagraph"/>
                          <w:numPr>
                            <w:ilvl w:val="0"/>
                            <w:numId w:val="17"/>
                          </w:numPr>
                        </w:pPr>
                        <w:r>
                          <w:t xml:space="preserve">The boards of the target and the bidder must inform the representatives of their respective employees or, where there are no such representatives, the employees themselves.</w:t>
                        </w:r>
                      </w:p>
                    </w:tc>
                    <w:tc>
                      <w:tcPr>
                        <w:vAlign w:val="center"/>
                      </w:tcPr>
                      <w:p>
                        <w:r>
                          <w:t xml:space="preserve">T</w:t>
                        </w:r>
                        <w:r>
                          <w:rPr>
                            <w:vertAlign w:val="subscript"/>
                          </w:rPr>
                          <w:t xml:space="preserve">0 </w:t>
                        </w:r>
                      </w:p>
                    </w:tc>
                  </w:tr>
                  <w:tr>
                    <w:tc>
                      <w:tcPr>
                        <w:vAlign w:val="center"/>
                      </w:tcPr>
                      <w:p>
                        <w:r>
                          <w:t xml:space="preserve">3. Launching of the bid:</w:t>
                        </w:r>
                      </w:p>
                      <w:p>
                        <w:pPr>
                          <w:pStyle w:val="ListParagraph"/>
                          <w:numPr>
                            <w:ilvl w:val="0"/>
                            <w:numId w:val="18"/>
                          </w:numPr>
                        </w:pPr>
                        <w:r>
                          <w:t xml:space="preserve">Filing of the offering document (</w:t>
                        </w:r>
                        <w:r>
                          <w:rPr>
                            <w:i/>
                          </w:rPr>
                          <w:t xml:space="preserve">Documento di Offerta</w:t>
                        </w:r>
                        <w:r>
                          <w:t xml:space="preserve">) with CONSOB. Should deadline not be met, the takeover bid document shall be declared inadmissible and the bidder may not make a further bid on the same financial products of the target company in the 12 months thereafter.</w:t>
                        </w:r>
                      </w:p>
                    </w:tc>
                    <w:tc>
                      <w:tcPr>
                        <w:vAlign w:val="center"/>
                      </w:tcPr>
                      <w:p>
                        <w:r>
                          <w:t xml:space="preserve">T</w:t>
                        </w:r>
                        <w:r>
                          <w:rPr>
                            <w:vertAlign w:val="subscript"/>
                          </w:rPr>
                          <w:t xml:space="preserve">0</w:t>
                        </w:r>
                        <w:r>
                          <w:t xml:space="preserve"> + 20 days</w:t>
                        </w:r>
                      </w:p>
                    </w:tc>
                  </w:tr>
                  <w:tr>
                    <w:tc>
                      <w:tcPr>
                        <w:vAlign w:val="center"/>
                      </w:tcPr>
                      <w:p>
                        <w:r>
                          <w:t xml:space="preserve">4. CONSOB approval of the offering document:</w:t>
                        </w:r>
                      </w:p>
                      <w:p>
                        <w:r>
                          <w:rPr>
                            <w:color w:val="1D1D1B"/>
                          </w:rPr>
                          <w:t xml:space="preserve">CONSOB issues its approval of the offering document (</w:t>
                        </w:r>
                        <w:r>
                          <w:rPr>
                            <w:i/>
                            <w:color w:val="1D1D1B"/>
                          </w:rPr>
                          <w:t xml:space="preserve">Documento di Offerta</w:t>
                        </w:r>
                        <w:r>
                          <w:rPr>
                            <w:color w:val="1D1D1B"/>
                          </w:rPr>
                          <w:t xml:space="preserve">) within 15 days of the filing of the offering document if it believes that such document allows the addressees of the bid to form an informed opinion on the bid. Should CONSOB request additional information from the bidder, the time limit to issue its approval is suspended until such information is received.</w:t>
                        </w:r>
                      </w:p>
                      <w:p>
                        <w:r>
                          <w:rPr>
                            <w:color w:val="1D1D1B"/>
                          </w:rPr>
                          <w:t xml:space="preserve">The bidder must provide CONSOB with the requested additional information by the deadline set forth by CONSOB, in any event not exceeding 15 days from the request.</w:t>
                        </w:r>
                      </w:p>
                      <w:p>
                        <w:r>
                          <w:rPr>
                            <w:color w:val="1D1D1B"/>
                          </w:rPr>
                          <w:t xml:space="preserve">If sector-specific regulations require authorizations from other authorities for launching the bid, CONSOB issues its approval of the offering document (</w:t>
                        </w:r>
                        <w:r>
                          <w:rPr>
                            <w:i/>
                            <w:color w:val="1D1D1B"/>
                          </w:rPr>
                          <w:t xml:space="preserve">Documento di Offerta</w:t>
                        </w:r>
                        <w:r>
                          <w:rPr>
                            <w:color w:val="1D1D1B"/>
                          </w:rPr>
                          <w:t xml:space="preserve">) within 5 days from the communication of such authorizations.</w:t>
                        </w:r>
                      </w:p>
                    </w:tc>
                    <w:tc>
                      <w:tcPr>
                        <w:vAlign w:val="center"/>
                      </w:tcPr>
                      <w:p>
                        <w:r>
                          <w:t xml:space="preserve">T</w:t>
                        </w:r>
                        <w:r>
                          <w:rPr>
                            <w:vertAlign w:val="subscript"/>
                          </w:rPr>
                          <w:t xml:space="preserve">0</w:t>
                        </w:r>
                        <w:r>
                          <w:t xml:space="preserve"> + 35 days</w:t>
                        </w:r>
                      </w:p>
                    </w:tc>
                  </w:tr>
                  <w:tr>
                    <w:tc>
                      <w:tcPr>
                        <w:vAlign w:val="center"/>
                      </w:tcPr>
                      <w:p>
                        <w:r>
                          <w:t xml:space="preserve">5. </w:t>
                        </w:r>
                        <w:r>
                          <w:t xml:space="preserve">The bidder must send CONSOB proof of cash confirmation i.e., that sufficient funding is in place for the bidder to fully satisfy its payment obligations in relation to the offered price.</w:t>
                        </w:r>
                      </w:p>
                    </w:tc>
                    <w:tc>
                      <w:tcPr>
                        <w:vAlign w:val="center"/>
                      </w:tcPr>
                      <w:p>
                        <w:r>
                          <w:t xml:space="preserve">T1 – 1 trading day</w:t>
                        </w:r>
                        <w:r>
                          <w:t xml:space="preserve"> </w:t>
                        </w:r>
                      </w:p>
                    </w:tc>
                  </w:tr>
                  <w:tr>
                    <w:tc>
                      <w:tcPr>
                        <w:vAlign w:val="center"/>
                      </w:tcPr>
                      <w:p>
                        <w:r>
                          <w:t xml:space="preserve">6. Publication of the offering document (</w:t>
                        </w:r>
                        <w:r>
                          <w:rPr>
                            <w:i/>
                          </w:rPr>
                          <w:t xml:space="preserve">Documento di Offerta</w:t>
                        </w:r>
                        <w:r>
                          <w:t xml:space="preserve">) after approval of CONSOB:</w:t>
                        </w:r>
                      </w:p>
                      <w:p>
                        <w:pPr>
                          <w:pStyle w:val="ListParagraph"/>
                          <w:numPr>
                            <w:ilvl w:val="0"/>
                            <w:numId w:val="20"/>
                          </w:numPr>
                        </w:pPr>
                        <w:r>
                          <w:t xml:space="preserve">The final approved offering document (</w:t>
                        </w:r>
                        <w:r>
                          <w:rPr>
                            <w:i/>
                          </w:rPr>
                          <w:t xml:space="preserve">Documento di Offerta</w:t>
                        </w:r>
                        <w:r>
                          <w:t xml:space="preserve">) must be sent to CONSOB and the target company, physically and in electronic format.</w:t>
                        </w:r>
                      </w:p>
                      <w:p>
                        <w:pPr>
                          <w:pStyle w:val="ListParagraph"/>
                          <w:numPr>
                            <w:ilvl w:val="0"/>
                            <w:numId w:val="20"/>
                          </w:numPr>
                        </w:pPr>
                        <w:r>
                          <w:t xml:space="preserve">The boards of the target and the bidder must inform the represent-atives of their respective employees or, where there are no such representatives, the employees themselves.</w:t>
                        </w:r>
                      </w:p>
                      <w:p>
                        <w:pPr>
                          <w:pStyle w:val="ListParagraph"/>
                          <w:numPr>
                            <w:ilvl w:val="0"/>
                            <w:numId w:val="20"/>
                          </w:numPr>
                        </w:pPr>
                        <w:r>
                          <w:t xml:space="preserve">In certain circumstances where there is a close connection between the bidder (or any persons acting in concert with it) and the target company (</w:t>
                        </w:r>
                        <w:r>
                          <w:rPr>
                            <w:i/>
                          </w:rPr>
                          <w:t xml:space="preserve">e.g.</w:t>
                        </w:r>
                        <w:r>
                          <w:t xml:space="preserve">, if the bidder is a director of the target company), the statement on the bid by the target board is generally annexed to the the offering document (</w:t>
                        </w:r>
                        <w:r>
                          <w:rPr>
                            <w:i/>
                          </w:rPr>
                          <w:t xml:space="preserve">Documento di Offerta</w:t>
                        </w:r>
                        <w:r>
                          <w:t xml:space="preserve">).</w:t>
                        </w:r>
                      </w:p>
                    </w:tc>
                    <w:tc>
                      <w:tcPr>
                        <w:vAlign w:val="center"/>
                      </w:tcPr>
                      <w:p>
                        <w:r>
                          <w:t xml:space="preserve">T1</w:t>
                        </w:r>
                      </w:p>
                    </w:tc>
                  </w:tr>
                  <w:tr>
                    <w:tc>
                      <w:tcPr>
                        <w:vAlign w:val="center"/>
                      </w:tcPr>
                      <w:p>
                        <w:r>
                          <w:t xml:space="preserve">7. Statement on the bid by the target board:</w:t>
                        </w:r>
                      </w:p>
                      <w:p>
                        <w:pPr>
                          <w:pStyle w:val="ListParagraph"/>
                          <w:numPr>
                            <w:ilvl w:val="0"/>
                            <w:numId w:val="21"/>
                          </w:numPr>
                        </w:pPr>
                        <w:r>
                          <w:t xml:space="preserve">The board of directors of the target company must issue a statement in which it gives its views on the adequacy of the consideration offered and the effects of a successful completion of the takeover on: (i) the interests of the target company; (ii) employment and conditions of employment at target company level, and (iii) continued operations at existing sites. Once issued, such statement shall be communicated to the representatives of the company’s employees or, where there are no such representatives, directly to the employees.</w:t>
                        </w:r>
                      </w:p>
                    </w:tc>
                    <w:tc>
                      <w:tcPr>
                        <w:vAlign w:val="center"/>
                      </w:tcPr>
                      <w:p>
                        <w:r>
                          <w:t xml:space="preserve">T1 + 4 trading days</w:t>
                        </w:r>
                      </w:p>
                      <w:p>
                        <w:r>
                          <w:t xml:space="preserve">(unless the statement on the bid by the target board is already annexed to the the offering document (</w:t>
                        </w:r>
                        <w:r>
                          <w:rPr>
                            <w:i/>
                          </w:rPr>
                          <w:t xml:space="preserve">Documento di Offerta</w:t>
                        </w:r>
                        <w:r>
                          <w:t xml:space="preserve">))</w:t>
                        </w:r>
                      </w:p>
                    </w:tc>
                  </w:tr>
                  <w:tr>
                    <w:tc>
                      <w:tcPr>
                        <w:vAlign w:val="center"/>
                      </w:tcPr>
                      <w:p>
                        <w:r>
                          <w:t xml:space="preserve">8. Commencement of the acceptance period:</w:t>
                        </w:r>
                      </w:p>
                      <w:p>
                        <w:pPr>
                          <w:pStyle w:val="ListParagraph"/>
                          <w:numPr>
                            <w:ilvl w:val="0"/>
                            <w:numId w:val="22"/>
                          </w:numPr>
                        </w:pPr>
                        <w:r>
                          <w:t xml:space="preserve">Duration: between 15 and 40 trading days for a voluntary takeover bid.</w:t>
                        </w:r>
                      </w:p>
                      <w:p>
                        <w:pPr>
                          <w:pStyle w:val="ListParagraph"/>
                          <w:numPr>
                            <w:ilvl w:val="0"/>
                            <w:numId w:val="22"/>
                          </w:numPr>
                        </w:pPr>
                        <w:r>
                          <w:t xml:space="preserve">The term of the acceptance period is agreed upon with Borsa Italiana S.p.A. (the Italian market operator that organizes, operates and manages the Italian stock exchange).</w:t>
                        </w:r>
                      </w:p>
                      <w:p>
                        <w:pPr>
                          <w:pStyle w:val="ListParagraph"/>
                          <w:numPr>
                            <w:ilvl w:val="0"/>
                            <w:numId w:val="22"/>
                          </w:numPr>
                        </w:pPr>
                        <w:r>
                          <w:t xml:space="preserve">For the purposes of correctly implementing the bid and investor protection, after consulting with the bidder and Borsa Italiana S.p.A., CONSOB may extend the term of the acceptance period, more than once, up to a maximum of 55 trading days.</w:t>
                        </w:r>
                      </w:p>
                      <w:p>
                        <w:pPr>
                          <w:pStyle w:val="ListParagraph"/>
                          <w:numPr>
                            <w:ilvl w:val="0"/>
                            <w:numId w:val="22"/>
                          </w:numPr>
                        </w:pPr>
                        <w:r>
                          <w:t xml:space="preserve">In the event that a shareholders’ meeting is called for the purposes of obtaining the shareholders’ authorization for the adoption of anti-takeover defense mechanisms (see under 6.4 below), such meetings shall be held in the last 10 trading days of the acceptance period. In such a case, the acceptance period will be extended so that it will expire after 10 trading days following the shareholders’ meeting.</w:t>
                        </w:r>
                      </w:p>
                      <w:p>
                        <w:pPr>
                          <w:pStyle w:val="ListParagraph"/>
                          <w:numPr>
                            <w:ilvl w:val="0"/>
                            <w:numId w:val="22"/>
                          </w:numPr>
                        </w:pPr>
                        <w:r>
                          <w:t xml:space="preserve">Amendments to the bid may occur until the trading day before the end of the acceptance period. In such a case, the acceptance period will be extended for at least three trading days following the disclosure of the relevant amendment to the prior bid.</w:t>
                        </w:r>
                      </w:p>
                      <w:p>
                        <w:r>
                          <w:t xml:space="preserve"> </w:t>
                        </w:r>
                      </w:p>
                    </w:tc>
                    <w:tc>
                      <w:tcPr>
                        <w:vAlign w:val="center"/>
                      </w:tcPr>
                      <w:p>
                        <w:r>
                          <w:t xml:space="preserve">T1 + 5 trading days</w:t>
                        </w:r>
                      </w:p>
                      <w:p>
                        <w:r>
                          <w:t xml:space="preserve"> (if the statement on the bid by the target board is already annexed to the offering document (</w:t>
                        </w:r>
                        <w:r>
                          <w:rPr>
                            <w:i/>
                          </w:rPr>
                          <w:t xml:space="preserve">Documento di Offerta</w:t>
                        </w:r>
                        <w:r>
                          <w:t xml:space="preserve">), the acceptance period can commence on T1)</w:t>
                        </w:r>
                      </w:p>
                    </w:tc>
                  </w:tr>
                  <w:tr>
                    <w:tc>
                      <w:tcPr>
                        <w:vAlign w:val="center"/>
                      </w:tcPr>
                      <w:p>
                        <w:r>
                          <w:t xml:space="preserve">9. Closure of the acceptance period:</w:t>
                        </w:r>
                      </w:p>
                      <w:p>
                        <w:pPr>
                          <w:pStyle w:val="ListParagraph"/>
                          <w:numPr>
                            <w:ilvl w:val="0"/>
                            <w:numId w:val="23"/>
                          </w:numPr>
                        </w:pPr>
                        <w:r>
                          <w:t xml:space="preserve">If "insider bids" are launched by: (i) shareholders of the target company owning voting securities in excess of 30% (or, in target companies other than SMEs, 25%); (ii) parties to a shareholder agreement owning in aggregate voting securities in excess of 30% (or, in target companies other than SMEs, 25%); (iii) directors of the target company; or (iv) persons acting in concert with the parties listed under points (i), (ii) and (iii) above, within the trading day following the payment date, the acceptance period can be re-opened for five trading days, upon the occurrence of certain circumstances.</w:t>
                        </w:r>
                      </w:p>
                    </w:tc>
                    <w:tc>
                      <w:tcPr>
                        <w:vAlign w:val="center"/>
                      </w:tcPr>
                      <w:p>
                        <w:r>
                          <w:t xml:space="preserve">T1 + 45 trading days</w:t>
                        </w:r>
                      </w:p>
                    </w:tc>
                  </w:tr>
                  <w:tr>
                    <w:tc>
                      <w:tcPr>
                        <w:vAlign w:val="center"/>
                      </w:tcPr>
                      <w:p>
                        <w:r>
                          <w:t xml:space="preserve">10. Publication of the final results</w:t>
                        </w:r>
                      </w:p>
                    </w:tc>
                    <w:tc>
                      <w:tcPr>
                        <w:vAlign w:val="center"/>
                      </w:tcPr>
                      <w:p>
                        <w:r>
                          <w:t xml:space="preserve">T1 + 49 trading days</w:t>
                        </w:r>
                      </w:p>
                    </w:tc>
                  </w:tr>
                  <w:tr>
                    <w:tc>
                      <w:tcPr>
                        <w:vAlign w:val="center"/>
                      </w:tcPr>
                      <w:p>
                        <w:r>
                          <w:t xml:space="preserve">11. Payment of the consideration offered by the bidder:</w:t>
                        </w:r>
                      </w:p>
                      <w:p>
                        <w:pPr>
                          <w:pStyle w:val="ListParagraph"/>
                          <w:numPr>
                            <w:ilvl w:val="0"/>
                            <w:numId w:val="24"/>
                          </w:numPr>
                        </w:pPr>
                        <w:r>
                          <w:rPr>
                            <w:color w:val="1D1D1B"/>
                          </w:rPr>
                          <w:t xml:space="preserve">If the bidder, in the context of a voluntary or a mandatory takeover bid for the entire share capital of an Italian listed company, acquired more than 90% of the voting securities of the target company, a period of time between 15 and 25 trading days (to be agreed upon with Borsa Italiana S.p.A.) will start for the exercise of the sell-out rights (see under 7 below).</w:t>
                        </w:r>
                      </w:p>
                    </w:tc>
                    <w:tc>
                      <w:tcPr>
                        <w:vAlign w:val="center"/>
                      </w:tcPr>
                      <w:p>
                        <w:r>
                          <w:t xml:space="preserve">T1 + 50 trading days</w:t>
                        </w:r>
                      </w:p>
                    </w:tc>
                  </w:tr>
                </w:tbl>
                <w:p>
                  <w:pPr>
                    <w:pStyle w:val="BodyText"/>
                  </w:pPr>
                  <w:r>
                    <w:t xml:space="preserve">Set out below is an overview of the main steps for a voluntary public takeover bid in Italy.</w:t>
                  </w:r>
                </w:p>
                <w:p>
                  <w:pPr>
                    <w:pStyle w:val="BodyText"/>
                  </w:pPr>
                  <w:r>
                    <w:rPr>
                      <w:b/>
                    </w:rPr>
                    <w:t xml:space="preserve">5.1 Indicative timeline for a voluntary public takeover bid</w:t>
                  </w:r>
                </w:p>
                <w:p>
                  <w:pPr>
                    <w:pStyle w:val="BodyText"/>
                  </w:pPr>
                  <w:r>
                    <w:t xml:space="preserve">Click here to view diagram for </w:t>
                  </w:r>
                  <w:hyperlink w:history="true" r:id="Rd94f5ba5ac4b411d">
                    <w:r>
                      <w:rPr>
                        <w:rStyle w:val="Hyperlink"/>
                      </w:rPr>
                      <w:t xml:space="preserve">Italy</w:t>
                    </w:r>
                  </w:hyperlink>
                  <w:r>
                    <w:t xml:space="preserve">.</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Takeover Tactics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 Takeover Tactics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January 2025, unless otherwise noted]</w:t>
                  </w:r>
                </w:p>
                <w:p>
                  <w:pPr>
                    <w:pStyle w:val="BodyText"/>
                  </w:pPr>
                  <w:r>
                    <w:rPr>
                      <w:b/>
                    </w:rPr>
                    <w:t xml:space="preserve">6.1 </w:t>
                  </w:r>
                  <w:r>
                    <w:rPr>
                      <w:b/>
                    </w:rPr>
                    <w:t xml:space="preserve">Inside information</w:t>
                  </w:r>
                </w:p>
                <w:p>
                  <w:pPr>
                    <w:pStyle w:val="BodyText"/>
                  </w:pPr>
                  <w:r>
                    <w:t xml:space="preserve">An Italian company is obligated to immediately disclose to the public all "</w:t>
                  </w:r>
                  <w:r>
                    <w:rPr>
                      <w:i/>
                    </w:rPr>
                    <w:t xml:space="preserve">inside information" </w:t>
                  </w:r>
                  <w:r>
                    <w:t xml:space="preserve">that relates to it, including all material changes in information that has already been disclosed to the public (see under 3.3 above).</w:t>
                  </w:r>
                </w:p>
                <w:p>
                  <w:pPr>
                    <w:pStyle w:val="BodyText"/>
                  </w:pPr>
                  <w:r>
                    <w:rPr>
                      <w:b/>
                    </w:rPr>
                    <w:t xml:space="preserve">6.2 In the event of a public takeover bid</w:t>
                  </w:r>
                </w:p>
                <w:p>
                  <w:pPr>
                    <w:pStyle w:val="BodyText"/>
                  </w:pPr>
                  <w:r>
                    <w:t xml:space="preserve">Pending a voluntary takeover bid, any other bidder (including a so-called 'white knight') may launch a competing bid – up to five trading days before the end of the acceptance period of the prior takeover bid – provided that it gives immediate notice to CONSOB of the decision to launch said bid and publicly discloses such decision, as well as files the offering document (</w:t>
                  </w:r>
                  <w:r>
                    <w:rPr>
                      <w:i/>
                    </w:rPr>
                    <w:t xml:space="preserve">Documento di Offerta</w:t>
                  </w:r>
                  <w:r>
                    <w:t xml:space="preserve">) concerning the bid, with CONSOB no later than 20 days from the prior notice (see under 3.6 above).</w:t>
                  </w:r>
                </w:p>
                <w:p>
                  <w:pPr>
                    <w:pStyle w:val="BodyText"/>
                  </w:pPr>
                  <w:r>
                    <w:rPr>
                      <w:b/>
                    </w:rPr>
                    <w:t xml:space="preserve">6.3 Insider trading and market abuse</w:t>
                  </w:r>
                </w:p>
                <w:p>
                  <w:pPr>
                    <w:pStyle w:val="BodyText"/>
                  </w:pPr>
                  <w:r>
                    <w:t xml:space="preserve">In principle, the rules on insider trading and market abuse remain applicable before, during and after a public takeover bid, albeit that during a takeover bid additional disclosures and restrictions apply in relation to trading in listed securities (see under 3.3 above).</w:t>
                  </w:r>
                </w:p>
                <w:p>
                  <w:pPr>
                    <w:pStyle w:val="BodyText"/>
                  </w:pPr>
                  <w:r>
                    <w:rPr>
                      <w:b/>
                    </w:rPr>
                    <w:t xml:space="preserve">6.4 Common anti-takeover defense mechanisms</w:t>
                  </w:r>
                </w:p>
                <w:p>
                  <w:pPr>
                    <w:pStyle w:val="BodyText"/>
                  </w:pPr>
                  <w:r>
                    <w:t xml:space="preserve">Anti-takeover defense mechanisms in Italy are subject to the applicability of three main rules:</w:t>
                  </w:r>
                </w:p>
                <w:p>
                  <w:pPr>
                    <w:pStyle w:val="BodyText"/>
                  </w:pPr>
                  <w:r>
                    <w:t xml:space="preserve">(a) Passivity rule (or board neutrality rule)</w:t>
                  </w:r>
                </w:p>
                <w:p>
                  <w:pPr>
                    <w:pStyle w:val="BodyText"/>
                  </w:pPr>
                  <w:r>
                    <w:t xml:space="preserve">The board of directors of the target company must abstain from adopting any action or having the company involved in any transaction that may adversely affect the achievement of the goals of a pending takeover bid, unless such action and/or transaction has been approved by the ordinary or extraordinary shareholders’ meeting respectively (depending on their respective areas of attributed decision-making powers). However, the articles of association of the target company may allow the board of directors to derogate, wholly or in part, from the passivity or board neutrality rule (opt-out system).</w:t>
                  </w:r>
                </w:p>
                <w:p>
                  <w:pPr>
                    <w:pStyle w:val="BodyText"/>
                  </w:pPr>
                  <w:r>
                    <w:t xml:space="preserve">The passivity (or board neutrality rule) applies from the date of the Initial Notice until the end of the bid or until the bid expires. The mere search for other bids ('white knights') is not subject to such rule.</w:t>
                  </w:r>
                </w:p>
                <w:p>
                  <w:pPr>
                    <w:pStyle w:val="BodyText"/>
                  </w:pPr>
                  <w:r>
                    <w:t xml:space="preserve">The following table summarizes the main anti-takeover defense mechanisms that, if adopted or engaged in pending a bid, must be authorized by the shareholders of the target company, unless the articles of association state otherwise:</w:t>
                  </w:r>
                </w:p>
                <w:tbl>
                  <w:pPr>
                    <w:pStyle w:val="BodyText"/>
                  </w:pPr>
                  <w:tblPr>
                    <w:tblStyle w:val="TableGrid"/>
                    <w:tblW w:w="5000" w:type="pct"/>
                  </w:tblPr>
                  <w:tblGrid>
                    <w:gridCol/>
                    <w:gridCol/>
                  </w:tblGrid>
                  <w:tr>
                    <w:tc>
                      <w:tcPr>
                        <w:tcW w:w="1500" w:type="pct"/>
                        <w:vAlign w:val="center"/>
                      </w:tcPr>
                      <w:p>
                        <w:r>
                          <w:rPr>
                            <w:b/>
                          </w:rPr>
                          <w:t xml:space="preserve">Purpose of the defense</w:t>
                        </w:r>
                      </w:p>
                    </w:tc>
                    <w:tc>
                      <w:tcPr>
                        <w:tcW w:w="3500" w:type="pct"/>
                        <w:vAlign w:val="center"/>
                      </w:tcPr>
                      <w:p>
                        <w:r>
                          <w:rPr>
                            <w:b/>
                          </w:rPr>
                          <w:t xml:space="preserve">Mechanism</w:t>
                        </w:r>
                      </w:p>
                    </w:tc>
                  </w:tr>
                  <w:tr>
                    <w:tc>
                      <w:tcPr>
                        <w:vAlign w:val="center"/>
                      </w:tcPr>
                      <w:p>
                        <w:r>
                          <w:rPr>
                            <w:b/>
                          </w:rPr>
                          <w:t xml:space="preserve">(a) To increase the overall consideration to be offered by the bidder </w:t>
                        </w:r>
                      </w:p>
                    </w:tc>
                    <w:tc>
                      <w:tcPr>
                        <w:vAlign w:val="center"/>
                      </w:tcPr>
                      <w:p>
                        <w:pPr>
                          <w:pStyle w:val="ListParagraph"/>
                          <w:numPr>
                            <w:ilvl w:val="0"/>
                            <w:numId w:val="12"/>
                          </w:numPr>
                        </w:pPr>
                        <w:r>
                          <w:t xml:space="preserve">Capital increases.</w:t>
                        </w:r>
                      </w:p>
                      <w:p>
                        <w:pPr>
                          <w:pStyle w:val="ListParagraph"/>
                          <w:numPr>
                            <w:ilvl w:val="0"/>
                            <w:numId w:val="12"/>
                          </w:numPr>
                        </w:pPr>
                        <w:r>
                          <w:t xml:space="preserve">Share buybacks.</w:t>
                        </w:r>
                      </w:p>
                      <w:p>
                        <w:pPr>
                          <w:pStyle w:val="ListParagraph"/>
                          <w:numPr>
                            <w:ilvl w:val="0"/>
                            <w:numId w:val="12"/>
                          </w:numPr>
                        </w:pPr>
                        <w:r>
                          <w:t xml:space="preserve">Conversion of non-voting securities into voting securities.</w:t>
                        </w:r>
                      </w:p>
                    </w:tc>
                  </w:tr>
                  <w:tr>
                    <w:tc>
                      <w:tcPr>
                        <w:vAlign w:val="center"/>
                      </w:tcPr>
                      <w:p>
                        <w:r>
                          <w:rPr>
                            <w:b/>
                          </w:rPr>
                          <w:t xml:space="preserve">(b) To significantly vary the business characteristics of the target company</w:t>
                        </w:r>
                      </w:p>
                    </w:tc>
                    <w:tc>
                      <w:tcPr>
                        <w:vAlign w:val="center"/>
                      </w:tcPr>
                      <w:p>
                        <w:pPr>
                          <w:pStyle w:val="ListParagraph"/>
                          <w:numPr>
                            <w:ilvl w:val="0"/>
                            <w:numId w:val="13"/>
                          </w:numPr>
                        </w:pPr>
                        <w:r>
                          <w:t xml:space="preserve">Mergers, demergers, split-ups, spin-offs, reorganizations.</w:t>
                        </w:r>
                      </w:p>
                      <w:p>
                        <w:pPr>
                          <w:pStyle w:val="ListParagraph"/>
                          <w:numPr>
                            <w:ilvl w:val="0"/>
                            <w:numId w:val="13"/>
                          </w:numPr>
                        </w:pPr>
                        <w:r>
                          <w:t xml:space="preserve">Sale of core assets (crown jewels).</w:t>
                        </w:r>
                      </w:p>
                      <w:p>
                        <w:pPr>
                          <w:pStyle w:val="ListParagraph"/>
                          <w:numPr>
                            <w:ilvl w:val="0"/>
                            <w:numId w:val="13"/>
                          </w:numPr>
                        </w:pPr>
                        <w:r>
                          <w:t xml:space="preserve">Purchase of non-core assets.</w:t>
                        </w:r>
                      </w:p>
                      <w:p>
                        <w:pPr>
                          <w:pStyle w:val="ListParagraph"/>
                          <w:numPr>
                            <w:ilvl w:val="0"/>
                            <w:numId w:val="13"/>
                          </w:numPr>
                        </w:pPr>
                        <w:r>
                          <w:t xml:space="preserve">Increase in indebtedness.</w:t>
                        </w:r>
                      </w:p>
                      <w:p>
                        <w:pPr>
                          <w:pStyle w:val="ListParagraph"/>
                          <w:numPr>
                            <w:ilvl w:val="0"/>
                            <w:numId w:val="13"/>
                          </w:numPr>
                        </w:pPr>
                        <w:r>
                          <w:t xml:space="preserve">Joint-ventures or acquisitions of other companies that trigger antitrust approvals.</w:t>
                        </w:r>
                      </w:p>
                    </w:tc>
                  </w:tr>
                  <w:tr>
                    <w:tc>
                      <w:tcPr>
                        <w:vAlign w:val="center"/>
                      </w:tcPr>
                      <w:p>
                        <w:r>
                          <w:rPr>
                            <w:b/>
                          </w:rPr>
                          <w:t xml:space="preserve">(c) To prevent the successful conclusion of the bid</w:t>
                        </w:r>
                      </w:p>
                    </w:tc>
                    <w:tc>
                      <w:tcPr>
                        <w:vAlign w:val="center"/>
                      </w:tcPr>
                      <w:p>
                        <w:pPr>
                          <w:pStyle w:val="ListParagraph"/>
                          <w:numPr>
                            <w:ilvl w:val="0"/>
                            <w:numId w:val="14"/>
                          </w:numPr>
                        </w:pPr>
                        <w:r>
                          <w:t xml:space="preserve">Launch of a takeover bid for the securities of the bidder.</w:t>
                        </w:r>
                      </w:p>
                      <w:p>
                        <w:pPr>
                          <w:pStyle w:val="ListParagraph"/>
                          <w:numPr>
                            <w:ilvl w:val="0"/>
                            <w:numId w:val="14"/>
                          </w:numPr>
                        </w:pPr>
                        <w:r>
                          <w:t xml:space="preserve">Lawsuits against the bidder.</w:t>
                        </w:r>
                      </w:p>
                      <w:p>
                        <w:pPr>
                          <w:pStyle w:val="ListParagraph"/>
                          <w:numPr>
                            <w:ilvl w:val="0"/>
                            <w:numId w:val="14"/>
                          </w:numPr>
                        </w:pPr>
                        <w:r>
                          <w:t xml:space="preserve">Hostile advertising campaigns against the bidder.</w:t>
                        </w:r>
                      </w:p>
                    </w:tc>
                  </w:tr>
                </w:tbl>
                <w:p>
                  <w:pPr>
                    <w:pStyle w:val="BodyText"/>
                  </w:pPr>
                  <w:r>
                    <w:t xml:space="preserve">(b) The breakthrough rule:</w:t>
                  </w:r>
                </w:p>
                <w:p>
                  <w:pPr>
                    <w:pStyle w:val="BodyText"/>
                  </w:pPr>
                  <w:r>
                    <w:t xml:space="preserve">The articles of association of the target company may set forth the following provisions (opt-in system):</w:t>
                  </w:r>
                </w:p>
                <w:p>
                  <w:pPr>
                    <w:pStyle w:val="BodyText"/>
                  </w:pPr>
                  <w:pPr>
                    <w:pStyle w:val="ListParagraph"/>
                    <w:numPr>
                      <w:ilvl w:val="0"/>
                      <w:numId w:val="15"/>
                    </w:numPr>
                  </w:pPr>
                  <w:r>
                    <w:t xml:space="preserve">any limitations on the transfer of securities envisaged in the articles of association shall have no effect on the bidder;</w:t>
                  </w:r>
                </w:p>
                <w:p>
                  <w:pPr>
                    <w:pStyle w:val="BodyText"/>
                  </w:pPr>
                  <w:pPr>
                    <w:pStyle w:val="ListParagraph"/>
                    <w:numPr>
                      <w:ilvl w:val="0"/>
                      <w:numId w:val="15"/>
                    </w:numPr>
                  </w:pPr>
                  <w:r>
                    <w:t xml:space="preserve">any limitations on voting rights envisaged in the articles of association or shareholders’ agreements in cases where a shareholders’ meeting is called to authorize the actions or transactions referred to above under the passivity or board neutrality rule, shall have no effect on the bidder; and</w:t>
                  </w:r>
                </w:p>
                <w:p>
                  <w:pPr>
                    <w:pStyle w:val="BodyText"/>
                  </w:pPr>
                  <w:pPr>
                    <w:pStyle w:val="ListParagraph"/>
                    <w:numPr>
                      <w:ilvl w:val="0"/>
                      <w:numId w:val="15"/>
                    </w:numPr>
                  </w:pPr>
                  <w:r>
                    <w:t xml:space="preserve">any limitations on voting rights envisaged in the articles of association or shareholders’ agreements or any special rights in relation to the appointment or removal of the directors or members of the management body or supervisory board envisaged in the articles of association shall have no effect at the first shareholders’ meeting of the target company following the end of the bid, called to amend the articles of association or to remove or appoint the directors, if as a result of the takeover bid the bidder comes into possession of at least 75% of the voting securities of the target company.</w:t>
                  </w:r>
                </w:p>
                <w:p>
                  <w:pPr>
                    <w:pStyle w:val="BodyText"/>
                  </w:pPr>
                  <w:r>
                    <w:t xml:space="preserve">The articles of association of the target company may set forth the following provisions (opt-in system):The breakthrough rule applies for the entire duration of the acceptance period. As a result of the foregoing, other common anti-takeover defense mechanisms (such as clauses in the articles of associations aimed at hampering the renewal of the board by the bidder – including those providing for (i) a staggered board, (ii) supermajorities in case of appointment or removal of directors, (iii) rights of appointment and removal of directors specifically granted to holders of particular categories of securities – or clauses in shareholders’ agreements aimed at restricting the right to vote or the freedom to transfer the securities) are ineffective in the context of a takeover bid if the articles of association of the target company so provide.</w:t>
                  </w:r>
                </w:p>
                <w:p>
                  <w:pPr>
                    <w:pStyle w:val="BodyText"/>
                  </w:pPr>
                  <w:r>
                    <w:t xml:space="preserve">(c) The reciprocity rule</w:t>
                  </w:r>
                </w:p>
                <w:p>
                  <w:pPr>
                    <w:pStyle w:val="BodyText"/>
                  </w:pPr>
                  <w:r>
                    <w:t xml:space="preserve">The passivity (or board neutrality) rule and the breakthrough rule shall not apply to takeover bids launched by entities not subject to such rules or equivalent rules, or by a company or entity controlled by such entities. In other words, should the bidder not be subject to the passivity or board neutrality rule and/or the breakthrough rule (by operation of law or due to specific provisions of its articles of association), any anti- takeover defense mechanism may be adopted by the board of directors of the target company. However, under Italian law, the authority to adopt any such defensive measures by the board of directors of the target company must be expressly granted by the shareholders’ meeting at least 18 months prior to the date of the Initial Notice.</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Squeeze-out of Minority Shareholders after Completion of the Takeover</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7. Squeeze-out of Minority Shareholders after Completion of the Takeover</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January 2025, unless otherwise noted]</w:t>
                  </w:r>
                </w:p>
                <w:p>
                  <w:pPr>
                    <w:pStyle w:val="BodyText"/>
                  </w:pPr>
                  <w:r>
                    <w:rPr>
                      <w:b/>
                    </w:rPr>
                    <w:t xml:space="preserve">7.1 Squeeze-out</w:t>
                  </w:r>
                </w:p>
                <w:p>
                  <w:pPr>
                    <w:pStyle w:val="BodyText"/>
                  </w:pPr>
                  <w:r>
                    <w:t xml:space="preserve">The right of the bidder to squeeze-out, i.e., to force all the holders of the outstanding voting securities to transfer such securities to it, arises if:</w:t>
                  </w:r>
                </w:p>
                <w:p>
                  <w:pPr>
                    <w:pStyle w:val="BodyText"/>
                  </w:pPr>
                  <w:pPr>
                    <w:pStyle w:val="ListParagraph"/>
                    <w:numPr>
                      <w:ilvl w:val="0"/>
                      <w:numId w:val="10"/>
                    </w:numPr>
                  </w:pPr>
                  <w:r>
                    <w:t xml:space="preserve">following a takeover bid (either voluntary or mandatory) over the entire voting stock of the target company (“</w:t>
                  </w:r>
                  <w:r>
                    <w:rPr>
                      <w:b/>
                    </w:rPr>
                    <w:t xml:space="preserve">Global Takeover Bid</w:t>
                  </w:r>
                  <w:r>
                    <w:t xml:space="preserve">”), the bidder (alone or in concert with others) comes to hold at least 95% of the voting securities of the target company; and</w:t>
                  </w:r>
                </w:p>
                <w:p>
                  <w:pPr>
                    <w:pStyle w:val="BodyText"/>
                  </w:pPr>
                  <w:pPr>
                    <w:pStyle w:val="ListParagraph"/>
                    <w:numPr>
                      <w:ilvl w:val="0"/>
                      <w:numId w:val="10"/>
                    </w:numPr>
                  </w:pPr>
                  <w:r>
                    <w:t xml:space="preserve">the bidder has stated in the offering document (</w:t>
                  </w:r>
                  <w:r>
                    <w:rPr>
                      <w:i/>
                    </w:rPr>
                    <w:t xml:space="preserve">Documento di Offerta</w:t>
                  </w:r>
                  <w:r>
                    <w:t xml:space="preserve">) the intention to avail itself of such</w:t>
                  </w:r>
                </w:p>
                <w:p>
                  <w:pPr>
                    <w:pStyle w:val="BodyText"/>
                  </w:pPr>
                  <w:r>
                    <w:t xml:space="preserve">The right to squeeze-out must be exercised within three months following the expiry of the acceptance period of the bid, by paying the same consideration offered in the prior takeover bid. The transfer becomes effective when notice of the deposit of the consideration with a bank is given to the target company, which must then make the relevant entries in the shareholders’ ledger.</w:t>
                  </w:r>
                </w:p>
                <w:p>
                  <w:pPr>
                    <w:pStyle w:val="BodyText"/>
                  </w:pPr>
                  <w:r>
                    <w:rPr>
                      <w:b/>
                    </w:rPr>
                    <w:t xml:space="preserve">7.2 Sell-out</w:t>
                  </w:r>
                </w:p>
                <w:p>
                  <w:pPr>
                    <w:pStyle w:val="BodyText"/>
                  </w:pPr>
                  <w:r>
                    <w:t xml:space="preserve">The right of the minority shareholders to sell-out, i.e., to demand the bidder to acquire their voting securities, arises if:</w:t>
                  </w:r>
                </w:p>
                <w:p>
                  <w:pPr>
                    <w:pStyle w:val="BodyText"/>
                  </w:pPr>
                  <w:pPr>
                    <w:pStyle w:val="ListParagraph"/>
                    <w:numPr>
                      <w:ilvl w:val="0"/>
                      <w:numId w:val="11"/>
                    </w:numPr>
                  </w:pPr>
                  <w:r>
                    <w:t xml:space="preserve">following a Global Takeover Bid, the bidder (alone or in concert with others) comes to hold at least 95% of the voting securities of a listed company; or</w:t>
                  </w:r>
                </w:p>
                <w:p>
                  <w:pPr>
                    <w:pStyle w:val="BodyText"/>
                  </w:pPr>
                  <w:pPr>
                    <w:pStyle w:val="ListParagraph"/>
                    <w:numPr>
                      <w:ilvl w:val="0"/>
                      <w:numId w:val="11"/>
                    </w:numPr>
                  </w:pPr>
                  <w:r>
                    <w:t xml:space="preserve">any investor comes to hold more than 90% of the voting securities of a listed company and the same investor does not restore the minimum free float of the same voting securities required to ensure their regular trading within a term of three months following the date on which the 90% threshold has been crossed.</w:t>
                  </w:r>
                </w:p>
                <w:p>
                  <w:pPr>
                    <w:pStyle w:val="BodyText"/>
                  </w:pPr>
                  <w:r>
                    <w:t xml:space="preserve">If any of the thresholds indicated above are reached solely as a result of a Global Takeover Bid and, in the case of a voluntary Global Takeover Bid, the bidder has purchased in such bid at least 90% of the voting securities targeted by the bid, the price paid to such sell-out minority shareholders must be equal to the price offered in the relevant takeover bid and take the same form as that of the takeover bid except that the holder of the voting securities may request full payment in cash.</w:t>
                  </w:r>
                </w:p>
                <w:p>
                  <w:pPr>
                    <w:pStyle w:val="BodyText"/>
                  </w:pPr>
                  <w:r>
                    <w:t xml:space="preserve">If the 90% threshold is not reached solely as a result of a Global Takeover Bid or, in the case of a voluntary Global Takeover Bid, the bidder has purchased in such bid less than 90% of the voting securities targeted by the bid, the price is determined by CONSOB, which will also take into account any previous bid price or the market price in the six month period prior to (i) the Initial Notice, or (ii) the acquisition that caused the relevant threshold to be crossed.</w:t>
                  </w:r>
                </w:p>
                <w:p>
                  <w:pPr>
                    <w:pStyle w:val="BodyText"/>
                  </w:pPr>
                  <w:r>
                    <w:t xml:space="preserve">If the price is equal to the offer price of a prior takeover bid, the commitment of the bidder to acquire the voting securities of the holders exercising their sell-out right may be effected by means of reopening of the terms of the takeover bid. Conversely, where the price is determined by CONSOB, the bidder must send CONSOB details for the determination of the price together with a statement by the target’s independent auditors concerning the fairness of such details.</w:t>
                  </w:r>
                </w:p>
                <w:p>
                  <w:pPr>
                    <w:pStyle w:val="BodyText"/>
                  </w:pPr>
                  <w:r>
                    <w:rPr>
                      <w:b/>
                    </w:rPr>
                    <w:t xml:space="preserve">7.3 Squeeze-out followed by a merger</w:t>
                  </w:r>
                </w:p>
                <w:p>
                  <w:pPr>
                    <w:pStyle w:val="BodyText"/>
                  </w:pPr>
                  <w:r>
                    <w:t xml:space="preserve">In the event a bid is intended to represent only the first step of a corporate reorganization process that will be followed by a merger, the bidder must disclose – in the Initial Notice and in the offering document (</w:t>
                  </w:r>
                  <w:r>
                    <w:rPr>
                      <w:i/>
                    </w:rPr>
                    <w:t xml:space="preserve">Documento</w:t>
                  </w:r>
                  <w:r>
                    <w:rPr>
                      <w:i/>
                    </w:rPr>
                    <w:t xml:space="preserve"> di Offerta</w:t>
                  </w:r>
                  <w:r>
                    <w:t xml:space="preserve">) – such intention to carry out a merger following the conclusion of the bid. In doing this, the security holders of the target company can make a more informed decision as to whether to accept the offer and tender their securities</w:t>
                  </w:r>
                </w:p>
                <w:p>
                  <w:pPr>
                    <w:pStyle w:val="BodyText"/>
                  </w:pPr>
                  <w:r>
                    <w:rPr>
                      <w:b/>
                    </w:rPr>
                    <w:t xml:space="preserve">7.4 Restrictions on acquiring securities after the takeover bid period</w:t>
                  </w:r>
                </w:p>
                <w:p>
                  <w:pPr>
                    <w:pStyle w:val="BodyText"/>
                  </w:pPr>
                  <w:r>
                    <w:t xml:space="preserve">If in the six-month period following the date of payment of the consideration offered by the bidder, the bidder or any persons acting in concert with it acquire, directly or indirectly, an aggregate number of voting securities that were the subject of the bid higher than 0.1% at a price higher than the offered price, the offered price must be revised to reflect such higher price.</w:t>
                  </w:r>
                </w:p>
                <w:p>
                  <w:pPr>
                    <w:pStyle w:val="BodyText"/>
                  </w:pPr>
                  <w:r>
                    <w:t xml:space="preserve">During a term of 12 months following the end of a Pre-emptive Bid, where the bidder and the persons acting in concert with the bidder have acquired 25% or more of the voting securities of the target company (or more than 30% if the target is a SME), the bidder and the persons acting in concert with the bidder may not acquire, directly or indirectly, more than 1% of the voting securities to which the Pre-emptive Bid applied (including acquisitions made through forward contracts expiring at a date later than 1 year). If such prohibition is violated, i.e., more than 1% of the voting securities are purchased in the 12 months following completion of the Pre-emptive Bid, the bidder will be obliged to launch a mandatory takeover bid for the outstanding voting securities of the target. The bidder will also be obliged to launch a mandatory takeover bid over the outstanding voting securities of the target in the event that the target company approves a merger or a spin- off in the 12 months following the end of an Pre-emptive Bid.</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Delisting</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8. Delisting</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January 2025, unless otherwise noted]</w:t>
                  </w:r>
                </w:p>
                <w:p>
                  <w:pPr>
                    <w:pStyle w:val="BodyText"/>
                  </w:pPr>
                  <w:r>
                    <w:t xml:space="preserve">As a general rule, CONSOB may not oppose the delisting of an Italian company that is listed on an Italian financial market organized, managed and operated by Borsa Italiana S.p.A., provided that sufficient protection has been given to the investors in and the security holders of the company that is going private. Traditional schemes through which a company may go private and be delisted include: Global Takeover Bids without restoration of the minimum free float; mergers or spin-offs of a listed company in a non- listed company; conversions of listed securities in non-listed securities; and buybacks that reduce the free float below the minimum level. Shareholders who do not agree to the delisting may exercise their withdrawal rights.</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Contacts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Contacts within Baker McKenzie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color w:val="1D1D1B"/>
                    </w:rPr>
                    <w:t xml:space="preserve">Pietro Bernasconi, Raffaele Giarda and Ludovico Rusconi are the most appropriate contacts within Baker McKenzie for inquiries about public M&amp;A in Italy.</w:t>
                  </w:r>
                </w:p>
              </w:sdtContent>
            </w:sdt>
          </w:sdtContent>
        </w:sdt>
      </w:sdtContent>
    </w:sdt>
    <w:p>
      <w:pPr>
        <w:pStyle w:val="Disclaimer"/>
      </w:pPr>
      <w:r>
        <w:t xml:space="preserve"> </w:t>
      </w:r>
    </w:p>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pPr>
        <w:pStyle w:val="Disclaimer"/>
      </w:pPr>
      <w:r>
        <w:t xml:space="preserve"> </w:t>
      </w:r>
    </w:p>
    <w:p>
      <w:pPr>
        <w:pStyle w:val="Disclaimer"/>
      </w:pPr>
      <w:r>
        <w:rPr>
          <w:b/>
        </w:rPr>
        <w:t xml:space="preserve">Internal content</w:t>
      </w:r>
      <w:r>
        <w:t xml:space="preserve">: This is internal Content and may be used as a reference. Do not distribute the Content outside the Firm.</w:t>
      </w:r>
    </w:p>
    <w:p w:rsidR="00747611" w:rsidP="002537D8" w:rsidRDefault="00747611" w14:paraId="3CC4838F" w14:textId="2D0C5289">
      <w:pPr>
        <w:pStyle w:val="Heading1"/>
      </w:pPr>
    </w:p>
    <w:sectPr w:rsidR="00747611"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F7766" w:rsidP="008407E2" w:rsidRDefault="00EF7766" w14:paraId="76822A5A" w14:textId="77777777">
      <w:pPr>
        <w:spacing w:after="0" w:line="240" w:lineRule="auto"/>
      </w:pPr>
      <w:r>
        <w:separator/>
      </w:r>
    </w:p>
  </w:endnote>
  <w:endnote w:type="continuationSeparator" w:id="0">
    <w:p w:rsidR="00EF7766" w:rsidP="008407E2" w:rsidRDefault="00EF7766" w14:paraId="5A23F51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03FC73C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CB0368" w:rsidRDefault="006851B1" w14:paraId="1AC669BB" w14:textId="2A698897">
    <w:pPr>
      <w:pStyle w:val="Footertext"/>
      <w:spacing w:after="120"/>
    </w:pPr>
    <w:r>
      <w:t>www.</w:t>
    </w:r>
    <w:r w:rsidR="00507F6E">
      <w:t>bakermckenzie.com</w:t>
    </w:r>
    <w:r w:rsidR="00EA11E4">
      <w:tab/>
      <w:t xml:space="preserve">Copyright </w:t>
    </w:r>
    <w:r w:rsidR="00EA11E4">
      <w:fldChar w:fldCharType="begin"/>
    </w:r>
    <w:r w:rsidR="00EA11E4">
      <w:instrText xml:space="preserve"> DATE  \@ "yyyy"  \* MERGEFORMAT </w:instrText>
    </w:r>
    <w:r w:rsidR="00EA11E4">
      <w:fldChar w:fldCharType="separate"/>
    </w:r>
    <w:r w:rsidR="00652219">
      <w:rPr>
        <w:noProof/>
      </w:rPr>
      <w:t>2021</w:t>
    </w:r>
    <w:r w:rsidR="00EA11E4">
      <w:fldChar w:fldCharType="end"/>
    </w:r>
    <w:r w:rsidR="001650B6">
      <w:tab/>
    </w:r>
    <w:r w:rsidR="001650B6">
      <w:fldChar w:fldCharType="begin"/>
    </w:r>
    <w:r w:rsidR="001650B6">
      <w:instrText xml:space="preserve"> PAGE  \* Arabic  \* MERGEFORMAT </w:instrText>
    </w:r>
    <w:r w:rsidR="001650B6">
      <w:fldChar w:fldCharType="separate"/>
    </w:r>
    <w:r w:rsidR="001650B6">
      <w:rPr>
        <w:noProof/>
      </w:rPr>
      <w:t>2</w:t>
    </w:r>
    <w:r w:rsidR="001650B6">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B7254" w:rsidP="0056371E" w:rsidRDefault="008D6B08" w14:paraId="03E16594" w14:textId="02BD64A9">
    <w:pPr>
      <w:pStyle w:val="Footertext"/>
      <w:spacing w:after="120"/>
    </w:pPr>
    <w:r w:rsidRPr="008D6B08">
      <w:t>https://resourcehub.bakermckenzie.com/en/resources/global-public-ma-guide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F7766" w:rsidP="008407E2" w:rsidRDefault="00EF7766" w14:paraId="628901B0" w14:textId="77777777">
      <w:pPr>
        <w:spacing w:after="0" w:line="240" w:lineRule="auto"/>
      </w:pPr>
      <w:r>
        <w:separator/>
      </w:r>
    </w:p>
  </w:footnote>
  <w:footnote w:type="continuationSeparator" w:id="0">
    <w:p w:rsidR="00EF7766" w:rsidP="008407E2" w:rsidRDefault="00EF7766" w14:paraId="0D741EDD"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3262B14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4F5E4990">
          <wp:extent cx="1191555" cy="417044"/>
          <wp:effectExtent l="0" t="0" r="0" b="2540"/>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DD06B3" w:rsidRDefault="00DD06B3" w14:paraId="60E40330" w14:textId="1518E37E">
    <w:pPr>
      <w:pStyle w:val="Header"/>
      <w:spacing w:after="600"/>
    </w:pPr>
    <w:r>
      <w:rPr>
        <w:noProof/>
      </w:rPr>
      <w:drawing>
        <wp:inline distT="0" distB="0" distL="0" distR="0" wp14:anchorId="76DC22A6" wp14:editId="10CE1214">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28295921"/>
    <w:multiLevelType w:val="multilevel"/>
    <w:tmpl w:val="1124EE02"/>
    <w:numStyleLink w:val="1aiA"/>
  </w:abstractNum>
  <w:abstractNum w:abstractNumId="3" w15:restartNumberingAfterBreak="0">
    <w:nsid w:val="311524A7"/>
    <w:multiLevelType w:val="multilevel"/>
    <w:tmpl w:val="1124EE02"/>
    <w:numStyleLink w:val="1aiA"/>
  </w:abstractNum>
  <w:abstractNum w:abstractNumId="4"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6"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multiLevelType w:val="singleLevel"/>
    <w:lvl w:ilvl="0">
      <w:start w:val="1"/>
      <w:numFmt w:val="decimal"/>
      <w:lvlText w:val="%1."/>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
      <w:pPr>
        <w:ind w:left="420" w:hanging="360"/>
      </w:pPr>
    </w:lvl>
  </w:abstractNum>
  <w:abstractNum w:abstractNumId="12">
    <w:multiLevelType w:val="singleLevel"/>
    <w:lvl w:ilvl="0">
      <w:numFmt w:val="bullet"/>
      <w:lvlText w:val="o"/>
      <w:pPr>
        <w:ind w:left="420" w:hanging="360"/>
      </w:pPr>
    </w:lvl>
  </w:abstractNum>
  <w:abstractNum w:abstractNumId="13">
    <w:multiLevelType w:val="singleLevel"/>
    <w:lvl w:ilvl="0">
      <w:start w:val="1"/>
      <w:numFmt w:val="upperLetter"/>
      <w:lvlText w:val="%1."/>
      <w:pPr>
        <w:ind w:left="420" w:hanging="360"/>
      </w:pPr>
    </w:lvl>
  </w:abstractNum>
  <w:abstractNum w:abstractNumId="14">
    <w:multiLevelType w:val="singleLevel"/>
    <w:lvl w:ilvl="0">
      <w:start w:val="1"/>
      <w:numFmt w:val="lowerLetter"/>
      <w:lvlText w:val="%1."/>
      <w:pPr>
        <w:ind w:left="420" w:hanging="360"/>
      </w:pPr>
    </w:lvl>
  </w:abstractNum>
  <w:abstractNum w:abstractNumId="15">
    <w:multiLevelType w:val="singleLevel"/>
    <w:lvl w:ilvl="0">
      <w:start w:val="1"/>
      <w:numFmt w:val="upperRoman"/>
      <w:lvlText w:val="%1."/>
      <w:pPr>
        <w:ind w:left="420" w:hanging="360"/>
      </w:pPr>
    </w:lvl>
  </w:abstractNum>
  <w:abstractNum w:abstractNumId="16">
    <w:multiLevelType w:val="singleLevel"/>
    <w:lvl w:ilvl="0">
      <w:start w:val="1"/>
      <w:numFmt w:val="lowerRoman"/>
      <w:lvlText w:val="%1."/>
      <w:pPr>
        <w:ind w:left="420" w:hanging="360"/>
      </w:pPr>
    </w:lvl>
  </w:abstractNum>
  <w:abstractNum w:abstractNumId="17">
    <w:multiLevelType w:val="singleLevel"/>
    <w:lvl w:ilvl="0">
      <w:start w:val="1"/>
      <w:numFmt w:val="decimal"/>
      <w:lvlText w:val="%1."/>
      <w:pPr>
        <w:ind w:left="420" w:hanging="360"/>
      </w:pPr>
    </w:lvl>
  </w:abstractNum>
  <w:abstractNum w:abstractNumId="18">
    <w:multiLevelType w:val="singleLevel"/>
    <w:lvl w:ilvl="0">
      <w:numFmt w:val="bullet"/>
      <w:lvlText w:val="•"/>
      <w:pPr>
        <w:ind w:left="420" w:hanging="360"/>
      </w:pPr>
    </w:lvl>
  </w:abstractNum>
  <w:abstractNum w:abstractNumId="19">
    <w:multiLevelType w:val="singleLevel"/>
    <w:lvl w:ilvl="0">
      <w:numFmt w:val="bullet"/>
      <w:lvlText w:val="▪"/>
      <w:pPr>
        <w:ind w:left="420" w:hanging="360"/>
      </w:pPr>
    </w:lvl>
  </w:abstractNum>
  <w:abstractNum w:abstractNumId="20">
    <w:multiLevelType w:val="singleLevel"/>
    <w:lvl w:ilvl="0">
      <w:numFmt w:val="bullet"/>
      <w:lvlText w:val="o"/>
      <w:pPr>
        <w:ind w:left="420" w:hanging="360"/>
      </w:pPr>
    </w:lvl>
  </w:abstractNum>
  <w:abstractNum w:abstractNumId="21">
    <w:multiLevelType w:val="singleLevel"/>
    <w:lvl w:ilvl="0">
      <w:start w:val="1"/>
      <w:numFmt w:val="upperLetter"/>
      <w:lvlText w:val="%1."/>
      <w:pPr>
        <w:ind w:left="420" w:hanging="360"/>
      </w:pPr>
    </w:lvl>
  </w:abstractNum>
  <w:abstractNum w:abstractNumId="22">
    <w:multiLevelType w:val="singleLevel"/>
    <w:lvl w:ilvl="0">
      <w:start w:val="1"/>
      <w:numFmt w:val="lowerLetter"/>
      <w:lvlText w:val="%1."/>
      <w:pPr>
        <w:ind w:left="420" w:hanging="360"/>
      </w:pPr>
    </w:lvl>
  </w:abstractNum>
  <w:abstractNum w:abstractNumId="23">
    <w:multiLevelType w:val="singleLevel"/>
    <w:lvl w:ilvl="0">
      <w:start w:val="1"/>
      <w:numFmt w:val="upperRoman"/>
      <w:lvlText w:val="%1."/>
      <w:pPr>
        <w:ind w:left="420" w:hanging="360"/>
      </w:pPr>
    </w:lvl>
  </w:abstractNum>
  <w:abstractNum w:abstractNumId="24">
    <w:multiLevelType w:val="singleLevel"/>
    <w:lvl w:ilvl="0">
      <w:start w:val="1"/>
      <w:numFmt w:val="lowerRoman"/>
      <w:lvlText w:val="%1."/>
      <w:pPr>
        <w:ind w:left="420" w:hanging="360"/>
      </w:pPr>
    </w:lvl>
  </w:abstractNum>
  <w:abstractNum w:abstractNumId="25">
    <w:multiLevelType w:val="singleLevel"/>
    <w:lvl w:ilvl="0">
      <w:start w:val="1"/>
      <w:numFmt w:val="decimal"/>
      <w:lvlText w:val="%1."/>
      <w:pPr>
        <w:ind w:left="420" w:hanging="360"/>
      </w:pPr>
    </w:lvl>
  </w:abstractNum>
  <w:abstractNum w:abstractNumId="26">
    <w:multiLevelType w:val="singleLevel"/>
    <w:lvl w:ilvl="0">
      <w:numFmt w:val="bullet"/>
      <w:lvlText w:val="•"/>
      <w:pPr>
        <w:ind w:left="420" w:hanging="360"/>
      </w:pPr>
    </w:lvl>
  </w:abstractNum>
  <w:abstractNum w:abstractNumId="27">
    <w:multiLevelType w:val="singleLevel"/>
    <w:lvl w:ilvl="0">
      <w:numFmt w:val="bullet"/>
      <w:lvlText w:val="▪"/>
      <w:pPr>
        <w:ind w:left="420" w:hanging="360"/>
      </w:pPr>
    </w:lvl>
  </w:abstractNum>
  <w:abstractNum w:abstractNumId="28">
    <w:multiLevelType w:val="singleLevel"/>
    <w:lvl w:ilvl="0">
      <w:numFmt w:val="bullet"/>
      <w:lvlText w:val="o"/>
      <w:pPr>
        <w:ind w:left="420" w:hanging="360"/>
      </w:pPr>
    </w:lvl>
  </w:abstractNum>
  <w:abstractNum w:abstractNumId="29">
    <w:multiLevelType w:val="singleLevel"/>
    <w:lvl w:ilvl="0">
      <w:start w:val="1"/>
      <w:numFmt w:val="upperLetter"/>
      <w:lvlText w:val="%1."/>
      <w:pPr>
        <w:ind w:left="420" w:hanging="360"/>
      </w:pPr>
    </w:lvl>
  </w:abstractNum>
  <w:abstractNum w:abstractNumId="30">
    <w:multiLevelType w:val="singleLevel"/>
    <w:lvl w:ilvl="0">
      <w:start w:val="1"/>
      <w:numFmt w:val="lowerLetter"/>
      <w:lvlText w:val="%1."/>
      <w:pPr>
        <w:ind w:left="420" w:hanging="360"/>
      </w:pPr>
    </w:lvl>
  </w:abstractNum>
  <w:abstractNum w:abstractNumId="31">
    <w:multiLevelType w:val="singleLevel"/>
    <w:lvl w:ilvl="0">
      <w:start w:val="1"/>
      <w:numFmt w:val="upperRoman"/>
      <w:lvlText w:val="%1."/>
      <w:pPr>
        <w:ind w:left="420" w:hanging="360"/>
      </w:pPr>
    </w:lvl>
  </w:abstractNum>
  <w:abstractNum w:abstractNumId="32">
    <w:multiLevelType w:val="singleLevel"/>
    <w:lvl w:ilvl="0">
      <w:start w:val="1"/>
      <w:numFmt w:val="lowerRoman"/>
      <w:lvlText w:val="%1."/>
      <w:pPr>
        <w:ind w:left="420" w:hanging="360"/>
      </w:pPr>
    </w:lvl>
  </w:abstractNum>
  <w:abstractNum w:abstractNumId="33">
    <w:multiLevelType w:val="singleLevel"/>
    <w:lvl w:ilvl="0">
      <w:start w:val="1"/>
      <w:numFmt w:val="decimal"/>
      <w:lvlText w:val="%1."/>
      <w:pPr>
        <w:ind w:left="420" w:hanging="360"/>
      </w:pPr>
    </w:lvl>
  </w:abstractNum>
  <w:abstractNum w:abstractNumId="34">
    <w:multiLevelType w:val="singleLevel"/>
    <w:lvl w:ilvl="0">
      <w:numFmt w:val="bullet"/>
      <w:lvlText w:val="•"/>
      <w:pPr>
        <w:ind w:left="420" w:hanging="360"/>
      </w:pPr>
    </w:lvl>
  </w:abstractNum>
  <w:abstractNum w:abstractNumId="35">
    <w:multiLevelType w:val="singleLevel"/>
    <w:lvl w:ilvl="0">
      <w:numFmt w:val="bullet"/>
      <w:lvlText w:val="▪"/>
      <w:pPr>
        <w:ind w:left="420" w:hanging="360"/>
      </w:pPr>
    </w:lvl>
  </w:abstractNum>
  <w:abstractNum w:abstractNumId="36">
    <w:multiLevelType w:val="singleLevel"/>
    <w:lvl w:ilvl="0">
      <w:numFmt w:val="bullet"/>
      <w:lvlText w:val="o"/>
      <w:pPr>
        <w:ind w:left="420" w:hanging="360"/>
      </w:pPr>
    </w:lvl>
  </w:abstractNum>
  <w:abstractNum w:abstractNumId="37">
    <w:multiLevelType w:val="singleLevel"/>
    <w:lvl w:ilvl="0">
      <w:start w:val="1"/>
      <w:numFmt w:val="upperLetter"/>
      <w:lvlText w:val="%1."/>
      <w:pPr>
        <w:ind w:left="420" w:hanging="360"/>
      </w:pPr>
    </w:lvl>
  </w:abstractNum>
  <w:abstractNum w:abstractNumId="38">
    <w:multiLevelType w:val="singleLevel"/>
    <w:lvl w:ilvl="0">
      <w:start w:val="1"/>
      <w:numFmt w:val="lowerLetter"/>
      <w:lvlText w:val="%1."/>
      <w:pPr>
        <w:ind w:left="420" w:hanging="360"/>
      </w:pPr>
    </w:lvl>
  </w:abstractNum>
  <w:abstractNum w:abstractNumId="39">
    <w:multiLevelType w:val="singleLevel"/>
    <w:lvl w:ilvl="0">
      <w:start w:val="1"/>
      <w:numFmt w:val="upperRoman"/>
      <w:lvlText w:val="%1."/>
      <w:pPr>
        <w:ind w:left="420" w:hanging="360"/>
      </w:pPr>
    </w:lvl>
  </w:abstractNum>
  <w:abstractNum w:abstractNumId="40">
    <w:multiLevelType w:val="singleLevel"/>
    <w:lvl w:ilvl="0">
      <w:start w:val="1"/>
      <w:numFmt w:val="lowerRoman"/>
      <w:lvlText w:val="%1."/>
      <w:pPr>
        <w:ind w:left="420" w:hanging="360"/>
      </w:pPr>
    </w:lvl>
  </w:abstractNum>
  <w:abstractNum w:abstractNumId="41">
    <w:multiLevelType w:val="singleLevel"/>
    <w:lvl w:ilvl="0">
      <w:start w:val="1"/>
      <w:numFmt w:val="decimal"/>
      <w:lvlText w:val="%1."/>
      <w:pPr>
        <w:ind w:left="420" w:hanging="360"/>
      </w:pPr>
    </w:lvl>
  </w:abstractNum>
  <w:abstractNum w:abstractNumId="42">
    <w:multiLevelType w:val="singleLevel"/>
    <w:lvl w:ilvl="0">
      <w:numFmt w:val="bullet"/>
      <w:lvlText w:val="•"/>
      <w:pPr>
        <w:ind w:left="420" w:hanging="360"/>
      </w:pPr>
    </w:lvl>
  </w:abstractNum>
  <w:abstractNum w:abstractNumId="43">
    <w:multiLevelType w:val="singleLevel"/>
    <w:lvl w:ilvl="0">
      <w:numFmt w:val="bullet"/>
      <w:lvlText w:val="▪"/>
      <w:pPr>
        <w:ind w:left="420" w:hanging="360"/>
      </w:pPr>
    </w:lvl>
  </w:abstractNum>
  <w:abstractNum w:abstractNumId="44">
    <w:multiLevelType w:val="singleLevel"/>
    <w:lvl w:ilvl="0">
      <w:numFmt w:val="bullet"/>
      <w:lvlText w:val="o"/>
      <w:pPr>
        <w:ind w:left="420" w:hanging="360"/>
      </w:pPr>
    </w:lvl>
  </w:abstractNum>
  <w:abstractNum w:abstractNumId="45">
    <w:multiLevelType w:val="singleLevel"/>
    <w:lvl w:ilvl="0">
      <w:start w:val="1"/>
      <w:numFmt w:val="upperLetter"/>
      <w:lvlText w:val="%1."/>
      <w:pPr>
        <w:ind w:left="420" w:hanging="360"/>
      </w:pPr>
    </w:lvl>
  </w:abstractNum>
  <w:abstractNum w:abstractNumId="46">
    <w:multiLevelType w:val="singleLevel"/>
    <w:lvl w:ilvl="0">
      <w:start w:val="1"/>
      <w:numFmt w:val="lowerLetter"/>
      <w:lvlText w:val="%1."/>
      <w:pPr>
        <w:ind w:left="420" w:hanging="360"/>
      </w:pPr>
    </w:lvl>
  </w:abstractNum>
  <w:abstractNum w:abstractNumId="47">
    <w:multiLevelType w:val="singleLevel"/>
    <w:lvl w:ilvl="0">
      <w:start w:val="1"/>
      <w:numFmt w:val="upperRoman"/>
      <w:lvlText w:val="%1."/>
      <w:pPr>
        <w:ind w:left="420" w:hanging="360"/>
      </w:pPr>
    </w:lvl>
  </w:abstractNum>
  <w:abstractNum w:abstractNumId="48">
    <w:multiLevelType w:val="singleLevel"/>
    <w:lvl w:ilvl="0">
      <w:start w:val="1"/>
      <w:numFmt w:val="lowerRoman"/>
      <w:lvlText w:val="%1."/>
      <w:pPr>
        <w:ind w:left="420" w:hanging="360"/>
      </w:pPr>
    </w:lvl>
  </w:abstractNum>
  <w:abstractNum w:abstractNumId="49">
    <w:multiLevelType w:val="singleLevel"/>
    <w:lvl w:ilvl="0">
      <w:start w:val="1"/>
      <w:numFmt w:val="decimal"/>
      <w:lvlText w:val="%1."/>
      <w:pPr>
        <w:ind w:left="420" w:hanging="360"/>
      </w:pPr>
    </w:lvl>
  </w:abstractNum>
  <w:abstractNum w:abstractNumId="50">
    <w:multiLevelType w:val="singleLevel"/>
    <w:lvl w:ilvl="0">
      <w:numFmt w:val="bullet"/>
      <w:lvlText w:val="•"/>
      <w:pPr>
        <w:ind w:left="420" w:hanging="360"/>
      </w:pPr>
    </w:lvl>
  </w:abstractNum>
  <w:abstractNum w:abstractNumId="51">
    <w:multiLevelType w:val="singleLevel"/>
    <w:lvl w:ilvl="0">
      <w:numFmt w:val="bullet"/>
      <w:lvlText w:val="▪"/>
      <w:pPr>
        <w:ind w:left="420" w:hanging="360"/>
      </w:pPr>
    </w:lvl>
  </w:abstractNum>
  <w:abstractNum w:abstractNumId="52">
    <w:multiLevelType w:val="singleLevel"/>
    <w:lvl w:ilvl="0">
      <w:numFmt w:val="bullet"/>
      <w:lvlText w:val="o"/>
      <w:pPr>
        <w:ind w:left="420" w:hanging="360"/>
      </w:pPr>
    </w:lvl>
  </w:abstractNum>
  <w:abstractNum w:abstractNumId="53">
    <w:multiLevelType w:val="singleLevel"/>
    <w:lvl w:ilvl="0">
      <w:start w:val="1"/>
      <w:numFmt w:val="upperLetter"/>
      <w:lvlText w:val="%1."/>
      <w:pPr>
        <w:ind w:left="420" w:hanging="360"/>
      </w:pPr>
    </w:lvl>
  </w:abstractNum>
  <w:abstractNum w:abstractNumId="54">
    <w:multiLevelType w:val="singleLevel"/>
    <w:lvl w:ilvl="0">
      <w:start w:val="1"/>
      <w:numFmt w:val="lowerLetter"/>
      <w:lvlText w:val="%1."/>
      <w:pPr>
        <w:ind w:left="420" w:hanging="360"/>
      </w:pPr>
    </w:lvl>
  </w:abstractNum>
  <w:abstractNum w:abstractNumId="55">
    <w:multiLevelType w:val="singleLevel"/>
    <w:lvl w:ilvl="0">
      <w:start w:val="1"/>
      <w:numFmt w:val="upperRoman"/>
      <w:lvlText w:val="%1."/>
      <w:pPr>
        <w:ind w:left="420" w:hanging="360"/>
      </w:pPr>
    </w:lvl>
  </w:abstractNum>
  <w:abstractNum w:abstractNumId="56">
    <w:multiLevelType w:val="singleLevel"/>
    <w:lvl w:ilvl="0">
      <w:start w:val="1"/>
      <w:numFmt w:val="lowerRoman"/>
      <w:lvlText w:val="%1."/>
      <w:pPr>
        <w:ind w:left="420" w:hanging="360"/>
      </w:pPr>
    </w:lvl>
  </w:abstractNum>
  <w:abstractNum w:abstractNumId="8"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6"/>
  </w:num>
  <w:num w:numId="2">
    <w:abstractNumId w:val="7"/>
  </w:num>
  <w:num w:numId="3">
    <w:abstractNumId w:val="0"/>
  </w:num>
  <w:num w:numId="4">
    <w:abstractNumId w:val="1"/>
  </w:num>
  <w:num w:numId="5">
    <w:abstractNumId w:val="8"/>
  </w:num>
  <w:num w:numId="6">
    <w:abstractNumId w:val="5"/>
  </w:num>
  <w:num w:numId="7">
    <w:abstractNumId w:val="4"/>
  </w:num>
  <w:num w:numId="8">
    <w:abstractNumId w:val="3"/>
  </w:num>
  <w:num w:numId="9">
    <w:abstractNumId w:val="2"/>
  </w:num>
  <w:num w:numId="10">
    <w:abstractNumId w:val="10"/>
    <w:lvlOverride w:ilvl="0">
      <w:startOverride w:val="1"/>
    </w:lvlOverride>
  </w:num>
  <w:num w:numId="11">
    <w:abstractNumId w:val="10"/>
    <w:lvlOverride w:ilvl="0">
      <w:startOverride w:val="1"/>
    </w:lvlOverride>
  </w:num>
  <w:num w:numId="12">
    <w:abstractNumId w:val="18"/>
    <w:lvlOverride w:ilvl="0">
      <w:startOverride w:val="1"/>
    </w:lvlOverride>
  </w:num>
  <w:num w:numId="13">
    <w:abstractNumId w:val="18"/>
    <w:lvlOverride w:ilvl="0">
      <w:startOverride w:val="1"/>
    </w:lvlOverride>
  </w:num>
  <w:num w:numId="14">
    <w:abstractNumId w:val="18"/>
    <w:lvlOverride w:ilvl="0">
      <w:startOverride w:val="1"/>
    </w:lvlOverride>
  </w:num>
  <w:num w:numId="15">
    <w:abstractNumId w:val="24"/>
    <w:lvlOverride w:ilvl="0">
      <w:startOverride w:val="1"/>
    </w:lvlOverride>
  </w:num>
  <w:num w:numId="16">
    <w:abstractNumId w:val="26"/>
    <w:lvlOverride w:ilvl="0">
      <w:startOverride w:val="1"/>
    </w:lvlOverride>
  </w:num>
  <w:num w:numId="17">
    <w:abstractNumId w:val="26"/>
    <w:lvlOverride w:ilvl="0">
      <w:startOverride w:val="1"/>
    </w:lvlOverride>
  </w:num>
  <w:num w:numId="18">
    <w:abstractNumId w:val="26"/>
    <w:lvlOverride w:ilvl="0">
      <w:startOverride w:val="1"/>
    </w:lvlOverride>
  </w:num>
  <w:num w:numId="19">
    <w:abstractNumId w:val="26"/>
    <w:lvlOverride w:ilvl="0">
      <w:startOverride w:val="1"/>
    </w:lvlOverride>
  </w:num>
  <w:num w:numId="20">
    <w:abstractNumId w:val="26"/>
    <w:lvlOverride w:ilvl="0">
      <w:startOverride w:val="1"/>
    </w:lvlOverride>
  </w:num>
  <w:num w:numId="21">
    <w:abstractNumId w:val="26"/>
    <w:lvlOverride w:ilvl="0">
      <w:startOverride w:val="1"/>
    </w:lvlOverride>
  </w:num>
  <w:num w:numId="22">
    <w:abstractNumId w:val="26"/>
    <w:lvlOverride w:ilvl="0">
      <w:startOverride w:val="1"/>
    </w:lvlOverride>
  </w:num>
  <w:num w:numId="23">
    <w:abstractNumId w:val="26"/>
    <w:lvlOverride w:ilvl="0">
      <w:startOverride w:val="1"/>
    </w:lvlOverride>
  </w:num>
  <w:num w:numId="24">
    <w:abstractNumId w:val="26"/>
    <w:lvlOverride w:ilvl="0">
      <w:startOverride w:val="1"/>
    </w:lvlOverride>
  </w:num>
  <w:num w:numId="25">
    <w:abstractNumId w:val="38"/>
    <w:lvlOverride w:ilvl="0">
      <w:startOverride w:val="1"/>
    </w:lvlOverride>
  </w:num>
  <w:num w:numId="26">
    <w:abstractNumId w:val="34"/>
    <w:lvlOverride w:ilvl="0">
      <w:startOverride w:val="1"/>
    </w:lvlOverride>
  </w:num>
  <w:num w:numId="27">
    <w:abstractNumId w:val="34"/>
    <w:lvlOverride w:ilvl="0">
      <w:startOverride w:val="1"/>
    </w:lvlOverride>
  </w:num>
  <w:num w:numId="28">
    <w:abstractNumId w:val="34"/>
    <w:lvlOverride w:ilvl="0">
      <w:startOverride w:val="1"/>
    </w:lvlOverride>
  </w:num>
  <w:num w:numId="29">
    <w:abstractNumId w:val="34"/>
    <w:lvlOverride w:ilvl="0">
      <w:startOverride w:val="1"/>
    </w:lvlOverride>
  </w:num>
  <w:num w:numId="30">
    <w:abstractNumId w:val="36"/>
    <w:lvlOverride w:ilvl="0">
      <w:startOverride w:val="1"/>
    </w:lvlOverride>
  </w:num>
  <w:num w:numId="31">
    <w:abstractNumId w:val="34"/>
    <w:lvlOverride w:ilvl="0">
      <w:startOverride w:val="1"/>
    </w:lvlOverride>
  </w:num>
  <w:num w:numId="32">
    <w:abstractNumId w:val="34"/>
    <w:lvlOverride w:ilvl="0">
      <w:startOverride w:val="1"/>
    </w:lvlOverride>
  </w:num>
  <w:num w:numId="33">
    <w:abstractNumId w:val="34"/>
    <w:lvlOverride w:ilvl="0">
      <w:startOverride w:val="1"/>
    </w:lvlOverride>
  </w:num>
  <w:num w:numId="34">
    <w:abstractNumId w:val="34"/>
    <w:lvlOverride w:ilvl="0">
      <w:startOverride w:val="1"/>
    </w:lvlOverride>
  </w:num>
  <w:num w:numId="35">
    <w:abstractNumId w:val="42"/>
    <w:lvlOverride w:ilvl="0">
      <w:startOverride w:val="1"/>
    </w:lvlOverride>
  </w:num>
  <w:num w:numId="36">
    <w:abstractNumId w:val="42"/>
    <w:lvlOverride w:ilvl="0">
      <w:startOverride w:val="1"/>
    </w:lvlOverride>
  </w:num>
  <w:num w:numId="37">
    <w:abstractNumId w:val="42"/>
    <w:lvlOverride w:ilvl="0">
      <w:startOverride w:val="1"/>
    </w:lvlOverride>
  </w:num>
  <w:num w:numId="38">
    <w:abstractNumId w:val="42"/>
    <w:lvlOverride w:ilvl="0">
      <w:startOverride w:val="1"/>
    </w:lvlOverride>
  </w:num>
  <w:num w:numId="39">
    <w:abstractNumId w:val="42"/>
    <w:lvlOverride w:ilvl="0">
      <w:startOverride w:val="1"/>
    </w:lvlOverride>
  </w:num>
  <w:num w:numId="40">
    <w:abstractNumId w:val="42"/>
    <w:lvlOverride w:ilvl="0">
      <w:startOverride w:val="1"/>
    </w:lvlOverride>
  </w:num>
  <w:num w:numId="41">
    <w:abstractNumId w:val="42"/>
    <w:lvlOverride w:ilvl="0">
      <w:startOverride w:val="1"/>
    </w:lvlOverride>
  </w:num>
  <w:num w:numId="42">
    <w:abstractNumId w:val="46"/>
    <w:lvlOverride w:ilvl="0">
      <w:startOverride w:val="1"/>
    </w:lvlOverride>
  </w:num>
  <w:num w:numId="43">
    <w:abstractNumId w:val="48"/>
    <w:lvlOverride w:ilvl="0">
      <w:startOverride w:val="1"/>
    </w:lvlOverride>
  </w:num>
  <w:num w:numId="44">
    <w:abstractNumId w:val="45"/>
    <w:lvlOverride w:ilvl="0">
      <w:startOverride w:val="1"/>
    </w:lvlOverride>
  </w:num>
  <w:num w:numId="45">
    <w:abstractNumId w:val="48"/>
    <w:lvlOverride w:ilvl="0">
      <w:startOverride w:val="1"/>
    </w:lvlOverride>
  </w:num>
  <w:num w:numId="46">
    <w:abstractNumId w:val="50"/>
    <w:lvlOverride w:ilvl="0">
      <w:startOverride w:val="1"/>
    </w:lvlOverride>
  </w:num>
  <w:num w:numId="47">
    <w:abstractNumId w:val="54"/>
    <w:lvlOverride w:ilvl="0">
      <w:startOverride w:val="1"/>
    </w:lvlOverride>
  </w:num>
  <w:num w:numId="48">
    <w:abstractNumId w:val="54"/>
    <w:lvlOverride w:ilvl="0">
      <w:startOverride w:val="1"/>
    </w:lvlOverride>
  </w:num>
  <w:num w:numId="49">
    <w:abstractNumId w:val="54"/>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46E"/>
    <w:rsid w:val="00026410"/>
    <w:rsid w:val="00035AF7"/>
    <w:rsid w:val="000366AE"/>
    <w:rsid w:val="00040699"/>
    <w:rsid w:val="00051AB4"/>
    <w:rsid w:val="00060DE4"/>
    <w:rsid w:val="000634B9"/>
    <w:rsid w:val="00066A43"/>
    <w:rsid w:val="00077F75"/>
    <w:rsid w:val="00093245"/>
    <w:rsid w:val="00093E1F"/>
    <w:rsid w:val="000A44E4"/>
    <w:rsid w:val="000E4E6C"/>
    <w:rsid w:val="000F4305"/>
    <w:rsid w:val="00163A87"/>
    <w:rsid w:val="001650B6"/>
    <w:rsid w:val="001802A0"/>
    <w:rsid w:val="0018699D"/>
    <w:rsid w:val="00197B2F"/>
    <w:rsid w:val="001C4022"/>
    <w:rsid w:val="001F1260"/>
    <w:rsid w:val="00206013"/>
    <w:rsid w:val="00215F7F"/>
    <w:rsid w:val="00237F85"/>
    <w:rsid w:val="002537D8"/>
    <w:rsid w:val="00277A03"/>
    <w:rsid w:val="002A08A4"/>
    <w:rsid w:val="002A465B"/>
    <w:rsid w:val="002B053B"/>
    <w:rsid w:val="002B72CF"/>
    <w:rsid w:val="002D177D"/>
    <w:rsid w:val="00301CB0"/>
    <w:rsid w:val="003338F8"/>
    <w:rsid w:val="003749B6"/>
    <w:rsid w:val="003A3B65"/>
    <w:rsid w:val="003F41D1"/>
    <w:rsid w:val="00421ABE"/>
    <w:rsid w:val="0043695D"/>
    <w:rsid w:val="00451567"/>
    <w:rsid w:val="0045175A"/>
    <w:rsid w:val="00471952"/>
    <w:rsid w:val="00485DE4"/>
    <w:rsid w:val="00490F49"/>
    <w:rsid w:val="004A2283"/>
    <w:rsid w:val="004C40D5"/>
    <w:rsid w:val="004E2B13"/>
    <w:rsid w:val="0050340E"/>
    <w:rsid w:val="00507F6E"/>
    <w:rsid w:val="00520E44"/>
    <w:rsid w:val="0053563D"/>
    <w:rsid w:val="00552AE4"/>
    <w:rsid w:val="005633FE"/>
    <w:rsid w:val="0056371E"/>
    <w:rsid w:val="00573CD0"/>
    <w:rsid w:val="005909AC"/>
    <w:rsid w:val="005938F3"/>
    <w:rsid w:val="005A12EF"/>
    <w:rsid w:val="005A1BF7"/>
    <w:rsid w:val="005F0C6B"/>
    <w:rsid w:val="005F6943"/>
    <w:rsid w:val="00652219"/>
    <w:rsid w:val="00662603"/>
    <w:rsid w:val="0066374E"/>
    <w:rsid w:val="00682D60"/>
    <w:rsid w:val="006851B1"/>
    <w:rsid w:val="006906AD"/>
    <w:rsid w:val="006B1683"/>
    <w:rsid w:val="006C0569"/>
    <w:rsid w:val="006C4214"/>
    <w:rsid w:val="006E4DBD"/>
    <w:rsid w:val="006F092A"/>
    <w:rsid w:val="006F4E12"/>
    <w:rsid w:val="00704DE8"/>
    <w:rsid w:val="00713F48"/>
    <w:rsid w:val="007336B4"/>
    <w:rsid w:val="00747611"/>
    <w:rsid w:val="007538CC"/>
    <w:rsid w:val="007541FC"/>
    <w:rsid w:val="00761F2A"/>
    <w:rsid w:val="00762FB2"/>
    <w:rsid w:val="007A0E60"/>
    <w:rsid w:val="007B5830"/>
    <w:rsid w:val="007B7254"/>
    <w:rsid w:val="007C069D"/>
    <w:rsid w:val="007F060E"/>
    <w:rsid w:val="008020A8"/>
    <w:rsid w:val="008204F5"/>
    <w:rsid w:val="008407E2"/>
    <w:rsid w:val="00853375"/>
    <w:rsid w:val="00865D16"/>
    <w:rsid w:val="00876B23"/>
    <w:rsid w:val="00896739"/>
    <w:rsid w:val="008B4BE2"/>
    <w:rsid w:val="008D09E7"/>
    <w:rsid w:val="008D564B"/>
    <w:rsid w:val="008D6B08"/>
    <w:rsid w:val="008E0D40"/>
    <w:rsid w:val="009459F9"/>
    <w:rsid w:val="0097273C"/>
    <w:rsid w:val="009860DA"/>
    <w:rsid w:val="00994FC4"/>
    <w:rsid w:val="009B5183"/>
    <w:rsid w:val="009D1541"/>
    <w:rsid w:val="009E2793"/>
    <w:rsid w:val="00A14B44"/>
    <w:rsid w:val="00A17914"/>
    <w:rsid w:val="00A33804"/>
    <w:rsid w:val="00A35C01"/>
    <w:rsid w:val="00A556C6"/>
    <w:rsid w:val="00A768A2"/>
    <w:rsid w:val="00A803CC"/>
    <w:rsid w:val="00A90B9D"/>
    <w:rsid w:val="00A966E5"/>
    <w:rsid w:val="00AB3E5E"/>
    <w:rsid w:val="00AC1559"/>
    <w:rsid w:val="00AC1F72"/>
    <w:rsid w:val="00B347E0"/>
    <w:rsid w:val="00B466E0"/>
    <w:rsid w:val="00B64E41"/>
    <w:rsid w:val="00B749D6"/>
    <w:rsid w:val="00BC16F0"/>
    <w:rsid w:val="00BC7873"/>
    <w:rsid w:val="00BD03CF"/>
    <w:rsid w:val="00BF49C6"/>
    <w:rsid w:val="00C01BE6"/>
    <w:rsid w:val="00C02BBE"/>
    <w:rsid w:val="00C303AC"/>
    <w:rsid w:val="00CA68FF"/>
    <w:rsid w:val="00CB0368"/>
    <w:rsid w:val="00CF063C"/>
    <w:rsid w:val="00D02513"/>
    <w:rsid w:val="00D36E00"/>
    <w:rsid w:val="00D41754"/>
    <w:rsid w:val="00D928B3"/>
    <w:rsid w:val="00D9752D"/>
    <w:rsid w:val="00DD06B3"/>
    <w:rsid w:val="00DD65E5"/>
    <w:rsid w:val="00DE2995"/>
    <w:rsid w:val="00E15808"/>
    <w:rsid w:val="00E31B0A"/>
    <w:rsid w:val="00E53A00"/>
    <w:rsid w:val="00E57C25"/>
    <w:rsid w:val="00E8516D"/>
    <w:rsid w:val="00E867F5"/>
    <w:rsid w:val="00E925A7"/>
    <w:rsid w:val="00EA11E4"/>
    <w:rsid w:val="00EB4E6C"/>
    <w:rsid w:val="00EB6941"/>
    <w:rsid w:val="00EC1193"/>
    <w:rsid w:val="00EE1050"/>
    <w:rsid w:val="00EF7766"/>
    <w:rsid w:val="00F02972"/>
    <w:rsid w:val="00F37251"/>
    <w:rsid w:val="00F6454F"/>
    <w:rsid w:val="00FC6796"/>
    <w:rsid w:val="00FF61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DD65E5"/>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E53A00"/>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E53A00"/>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E53A00"/>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DD65E5"/>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DD65E5"/>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552AE4"/>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040699"/>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E53A00"/>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DD65E5"/>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E53A00"/>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E53A00"/>
    <w:pPr>
      <w:spacing w:line="360" w:lineRule="auto"/>
    </w:pPr>
  </w:style>
  <w:style w:type="character" w:styleId="BodyTextChar" w:customStyle="1">
    <w:name w:val="Body Text Char"/>
    <w:basedOn w:val="DefaultParagraphFont"/>
    <w:link w:val="BodyText"/>
    <w:uiPriority w:val="99"/>
    <w:rsid w:val="00DD65E5"/>
    <w:rPr>
      <w:rFonts w:ascii="Arial" w:hAnsi="Arial"/>
      <w:sz w:val="20"/>
    </w:rPr>
  </w:style>
  <w:style w:type="character" w:styleId="Heading2Char" w:customStyle="1">
    <w:name w:val="Heading 2 Char"/>
    <w:basedOn w:val="DefaultParagraphFont"/>
    <w:link w:val="Heading2"/>
    <w:uiPriority w:val="9"/>
    <w:rsid w:val="00DD65E5"/>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DD65E5"/>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E53A00"/>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DD65E5"/>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E53A00"/>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DD65E5"/>
    <w:rPr>
      <w:rFonts w:ascii="Arial Bold" w:hAnsi="Arial Bold" w:eastAsiaTheme="majorEastAsia" w:cstheme="majorBidi"/>
      <w:b/>
      <w:kern w:val="28"/>
      <w:sz w:val="44"/>
      <w:szCs w:val="56"/>
    </w:rPr>
  </w:style>
  <w:style w:type="paragraph" w:styleId="Disclaimer" w:customStyle="1">
    <w:name w:val="Disclaimer"/>
    <w:basedOn w:val="BodyText"/>
    <w:qFormat/>
    <w:rsid w:val="00040699"/>
    <w:rPr>
      <w:sz w:val="16"/>
    </w:rPr>
  </w:style>
  <w:style w:type="paragraph" w:styleId="TOC2">
    <w:name w:val="toc 2"/>
    <w:basedOn w:val="Normal"/>
    <w:next w:val="Normal"/>
    <w:autoRedefine/>
    <w:uiPriority w:val="39"/>
    <w:unhideWhenUsed/>
    <w:rsid w:val="00AC1F72"/>
    <w:pPr>
      <w:spacing w:after="100"/>
      <w:ind w:left="200"/>
    </w:pPr>
    <w:rPr>
      <w:sz w:val="16"/>
    </w:rPr>
  </w:style>
  <w:style w:type="paragraph" w:styleId="TOC3">
    <w:name w:val="toc 3"/>
    <w:basedOn w:val="Normal"/>
    <w:next w:val="Normal"/>
    <w:autoRedefine/>
    <w:uiPriority w:val="39"/>
    <w:unhideWhenUsed/>
    <w:rsid w:val="00AC1F72"/>
    <w:pPr>
      <w:spacing w:after="100"/>
      <w:ind w:left="400"/>
    </w:pPr>
    <w:rPr>
      <w:sz w:val="16"/>
    </w:rPr>
  </w:style>
  <w:style w:type="paragraph" w:styleId="TOC4">
    <w:name w:val="toc 4"/>
    <w:basedOn w:val="Normal"/>
    <w:next w:val="Normal"/>
    <w:autoRedefine/>
    <w:uiPriority w:val="39"/>
    <w:semiHidden/>
    <w:unhideWhenUsed/>
    <w:rsid w:val="00AC1F72"/>
    <w:pPr>
      <w:spacing w:after="100"/>
      <w:ind w:left="600"/>
    </w:pPr>
    <w:rPr>
      <w:sz w:val="16"/>
    </w:rPr>
  </w:style>
  <w:style w:type="paragraph" w:styleId="TOC5">
    <w:name w:val="toc 5"/>
    <w:basedOn w:val="Normal"/>
    <w:next w:val="Normal"/>
    <w:autoRedefine/>
    <w:uiPriority w:val="39"/>
    <w:semiHidden/>
    <w:unhideWhenUsed/>
    <w:rsid w:val="00AC1F72"/>
    <w:pPr>
      <w:spacing w:after="100"/>
      <w:ind w:left="800"/>
    </w:pPr>
    <w:rPr>
      <w:sz w:val="16"/>
    </w:rPr>
  </w:style>
  <w:style w:type="paragraph" w:styleId="TOC6">
    <w:name w:val="toc 6"/>
    <w:basedOn w:val="Normal"/>
    <w:next w:val="Normal"/>
    <w:autoRedefine/>
    <w:uiPriority w:val="39"/>
    <w:semiHidden/>
    <w:unhideWhenUsed/>
    <w:rsid w:val="00AC1F72"/>
    <w:pPr>
      <w:spacing w:after="100"/>
      <w:ind w:left="1000"/>
    </w:pPr>
    <w:rPr>
      <w:sz w:val="16"/>
    </w:rPr>
  </w:style>
  <w:style w:type="numbering" w:styleId="1aiA" w:customStyle="1">
    <w:name w:val="1. / (a) / (i) / (A)"/>
    <w:uiPriority w:val="99"/>
    <w:rsid w:val="0000446E"/>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8927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hyperlink" Target="https://resourcehub.bakermckenzie.com/en/-/media/global-public-ma-handbook/files/2025-version/new-italy-timeline.pdf?rev=c0c5cc9b32234e3a97cf162c8e0d3933&amp;sc_lang=en" TargetMode="External" Id="Rd94f5ba5ac4b411d" /></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F534C2" w:rsidRDefault="00221808">
          <w:r w:rsidRPr="0077679D">
            <w:rPr>
              <w:rStyle w:val="PlaceholderText"/>
            </w:rPr>
            <w:t>Click or tap here to enter text.</w:t>
          </w:r>
        </w:p>
      </w:docPartBody>
    </w:docPart>
    <w:docPart>
      <w:docPartPr>
        <w:name w:val="A0AF05CB778C40DAA132D9B1AC8EB97E"/>
        <w:category>
          <w:name w:val="General"/>
          <w:gallery w:val="placeholder"/>
        </w:category>
        <w:types>
          <w:type w:val="bbPlcHdr"/>
        </w:types>
        <w:behaviors>
          <w:behavior w:val="content"/>
        </w:behaviors>
        <w:guid w:val="{66F167DE-438C-4B3F-AD73-40CDEEEF1E0F}"/>
      </w:docPartPr>
      <w:docPartBody>
        <w:p w:rsidR="005E6147" w:rsidRDefault="008C39EF" w:rsidP="008C39EF">
          <w:pPr>
            <w:pStyle w:val="A0AF05CB778C40DAA132D9B1AC8EB97E"/>
          </w:pPr>
          <w:r w:rsidRPr="0077679D">
            <w:rPr>
              <w:rStyle w:val="PlaceholderText"/>
            </w:rPr>
            <w:t>Click or tap here to enter text.</w:t>
          </w:r>
        </w:p>
      </w:docPartBody>
    </w:docPart>
    <w:docPart>
      <w:docPartPr>
        <w:name w:val="3816F6170ABC43BCBDB278015F7ED7B2"/>
        <w:category>
          <w:name w:val="General"/>
          <w:gallery w:val="placeholder"/>
        </w:category>
        <w:types>
          <w:type w:val="bbPlcHdr"/>
        </w:types>
        <w:behaviors>
          <w:behavior w:val="content"/>
        </w:behaviors>
        <w:guid w:val="{4809D032-F599-425F-B2DD-5DF71B222145}"/>
      </w:docPartPr>
      <w:docPartBody>
        <w:p w:rsidR="005E6147" w:rsidRDefault="008C39EF" w:rsidP="008C39EF">
          <w:pPr>
            <w:pStyle w:val="3816F6170ABC43BCBDB278015F7ED7B2"/>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D4BEECC0959C48F1AA1D9A0CCEB1EE0D"/>
        <w:category>
          <w:name w:val="General"/>
          <w:gallery w:val="placeholder"/>
        </w:category>
        <w:types>
          <w:type w:val="bbPlcHdr"/>
        </w:types>
        <w:behaviors>
          <w:behavior w:val="content"/>
        </w:behaviors>
        <w:guid w:val="{6187ABCF-F968-45DE-BC87-9BF4ACD202EC}"/>
      </w:docPartPr>
      <w:docPartBody>
        <w:p w:rsidR="005E6147" w:rsidRDefault="008C39EF" w:rsidP="008C39EF">
          <w:pPr>
            <w:pStyle w:val="D4BEECC0959C48F1AA1D9A0CCEB1EE0D"/>
          </w:pPr>
          <w:r w:rsidRPr="0077679D">
            <w:rPr>
              <w:rStyle w:val="PlaceholderText"/>
            </w:rPr>
            <w:t>Click or tap here to enter text.</w:t>
          </w:r>
        </w:p>
      </w:docPartBody>
    </w:docPart>
    <w:docPart>
      <w:docPartPr>
        <w:name w:val="7A3271F1CA7B4758B07266E2255DBF5C"/>
        <w:category>
          <w:name w:val="General"/>
          <w:gallery w:val="placeholder"/>
        </w:category>
        <w:types>
          <w:type w:val="bbPlcHdr"/>
        </w:types>
        <w:behaviors>
          <w:behavior w:val="content"/>
        </w:behaviors>
        <w:guid w:val="{48FD75EC-026E-46C8-A825-A2E99CC5DE7C}"/>
      </w:docPartPr>
      <w:docPartBody>
        <w:p w:rsidR="005E6147" w:rsidRDefault="008C39EF" w:rsidP="008C39EF">
          <w:pPr>
            <w:pStyle w:val="7A3271F1CA7B4758B07266E2255DBF5C"/>
          </w:pPr>
          <w:r w:rsidRPr="0077679D">
            <w:rPr>
              <w:rStyle w:val="PlaceholderText"/>
            </w:rPr>
            <w:t>Click or tap here to enter text.</w:t>
          </w:r>
        </w:p>
      </w:docPartBody>
    </w:docPart>
    <w:docPart>
      <w:docPartPr>
        <w:name w:val="21EB74C42DC04B5E95018E132FDE3B56"/>
        <w:category>
          <w:name w:val="General"/>
          <w:gallery w:val="placeholder"/>
        </w:category>
        <w:types>
          <w:type w:val="bbPlcHdr"/>
        </w:types>
        <w:behaviors>
          <w:behavior w:val="content"/>
        </w:behaviors>
        <w:guid w:val="{8631C0F4-0533-4F81-BE94-6ABDE84232CD}"/>
      </w:docPartPr>
      <w:docPartBody>
        <w:p w:rsidR="005E6147" w:rsidRDefault="008C39EF" w:rsidP="008C39EF">
          <w:pPr>
            <w:pStyle w:val="21EB74C42DC04B5E95018E132FDE3B56"/>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6DD963B540C343C08613D2C5F772A932"/>
        <w:category>
          <w:name w:val="General"/>
          <w:gallery w:val="placeholder"/>
        </w:category>
        <w:types>
          <w:type w:val="bbPlcHdr"/>
        </w:types>
        <w:behaviors>
          <w:behavior w:val="content"/>
        </w:behaviors>
        <w:guid w:val="{1D68D44D-DB56-46E8-8E6F-AC3134C9ADAC}"/>
      </w:docPartPr>
      <w:docPartBody>
        <w:p w:rsidR="005E6147" w:rsidRDefault="008C39EF" w:rsidP="008C39EF">
          <w:pPr>
            <w:pStyle w:val="6DD963B540C343C08613D2C5F772A932"/>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82C5090A-F1DB-4637-95F2-9607D8ECEBB1}"/>
      </w:docPartPr>
      <w:docPartBody>
        <w:p w:rsidR="008E2F4A" w:rsidRDefault="003B4B66">
          <w:r w:rsidRPr="00051056">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62ADE"/>
    <w:rsid w:val="00065653"/>
    <w:rsid w:val="000C59AA"/>
    <w:rsid w:val="00145D6B"/>
    <w:rsid w:val="00151DBE"/>
    <w:rsid w:val="00177734"/>
    <w:rsid w:val="00181E6F"/>
    <w:rsid w:val="001B4209"/>
    <w:rsid w:val="001B645C"/>
    <w:rsid w:val="00221808"/>
    <w:rsid w:val="002A1718"/>
    <w:rsid w:val="00354BBB"/>
    <w:rsid w:val="003B4B66"/>
    <w:rsid w:val="00571892"/>
    <w:rsid w:val="005E6147"/>
    <w:rsid w:val="007C533E"/>
    <w:rsid w:val="00870C2F"/>
    <w:rsid w:val="008C1645"/>
    <w:rsid w:val="008C39EF"/>
    <w:rsid w:val="008E2F4A"/>
    <w:rsid w:val="008F2DC5"/>
    <w:rsid w:val="00990F10"/>
    <w:rsid w:val="00B74E77"/>
    <w:rsid w:val="00D14D23"/>
    <w:rsid w:val="00DB1076"/>
    <w:rsid w:val="00E16C5A"/>
    <w:rsid w:val="00E45A92"/>
    <w:rsid w:val="00E9125D"/>
    <w:rsid w:val="00ED015A"/>
    <w:rsid w:val="00F078AC"/>
    <w:rsid w:val="00F534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B4B66"/>
    <w:rPr>
      <w:color w:val="808080"/>
    </w:rPr>
  </w:style>
  <w:style w:type="paragraph" w:customStyle="1" w:styleId="A0AF05CB778C40DAA132D9B1AC8EB97E">
    <w:name w:val="A0AF05CB778C40DAA132D9B1AC8EB97E"/>
    <w:rsid w:val="008C39EF"/>
  </w:style>
  <w:style w:type="paragraph" w:customStyle="1" w:styleId="3816F6170ABC43BCBDB278015F7ED7B2">
    <w:name w:val="3816F6170ABC43BCBDB278015F7ED7B2"/>
    <w:rsid w:val="008C39EF"/>
  </w:style>
  <w:style w:type="paragraph" w:customStyle="1" w:styleId="D4BEECC0959C48F1AA1D9A0CCEB1EE0D">
    <w:name w:val="D4BEECC0959C48F1AA1D9A0CCEB1EE0D"/>
    <w:rsid w:val="008C39EF"/>
  </w:style>
  <w:style w:type="paragraph" w:customStyle="1" w:styleId="7A3271F1CA7B4758B07266E2255DBF5C">
    <w:name w:val="7A3271F1CA7B4758B07266E2255DBF5C"/>
    <w:rsid w:val="008C39EF"/>
  </w:style>
  <w:style w:type="paragraph" w:customStyle="1" w:styleId="21EB74C42DC04B5E95018E132FDE3B56">
    <w:name w:val="21EB74C42DC04B5E95018E132FDE3B56"/>
    <w:rsid w:val="008C39EF"/>
  </w:style>
  <w:style w:type="paragraph" w:customStyle="1" w:styleId="6DD963B540C343C08613D2C5F772A932">
    <w:name w:val="6DD963B540C343C08613D2C5F772A932"/>
    <w:rsid w:val="008C39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9641B9A-23B7-4874-A0AF-B69226DA0B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5531</TotalTime>
  <Pages>3</Pages>
  <Words>232</Words>
  <Characters>1325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69</cp:revision>
  <dcterms:created xsi:type="dcterms:W3CDTF">2020-06-09T19:54:00Z</dcterms:created>
  <dcterms:modified xsi:type="dcterms:W3CDTF">2021-06-02T18:24:00Z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