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Kazakhstan</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 takeover in Kazakhstan may be conducted by way of a tender offer. As was previously mentioned, there is no takeover code in Kazakhstan. Thus, many issues arising in connection with a takeover are not specifically regulated under Kazakhstani law.</w:t>
              </w:r>
            </w:p>
            <w:p>
              <w:pPr>
                <w:pStyle w:val="BodyText"/>
              </w:pPr>
              <w:r>
                <w:t xml:space="preserve">For example:</w:t>
              </w:r>
            </w:p>
            <w:p>
              <w:pPr>
                <w:pStyle w:val="BodyText"/>
              </w:pPr>
              <w:pPr>
                <w:pStyle w:val="ListParagraph"/>
                <w:numPr>
                  <w:ilvl w:val="0"/>
                  <w:numId w:val="9"/>
                </w:numPr>
              </w:pPr>
              <w:r>
                <w:t xml:space="preserve">there is no definition of the term "control" for the purposes of takeover deals;</w:t>
              </w:r>
            </w:p>
            <w:p>
              <w:pPr>
                <w:pStyle w:val="BodyText"/>
              </w:pPr>
              <w:pPr>
                <w:pStyle w:val="ListParagraph"/>
                <w:numPr>
                  <w:ilvl w:val="0"/>
                  <w:numId w:val="9"/>
                </w:numPr>
              </w:pPr>
              <w:r>
                <w:t xml:space="preserve">there are no rules as to how and when a bid must be made public;</w:t>
              </w:r>
            </w:p>
            <w:p>
              <w:pPr>
                <w:pStyle w:val="BodyText"/>
              </w:pPr>
              <w:pPr>
                <w:pStyle w:val="ListParagraph"/>
                <w:numPr>
                  <w:ilvl w:val="0"/>
                  <w:numId w:val="9"/>
                </w:numPr>
              </w:pPr>
              <w:r>
                <w:t xml:space="preserve">there is no requirement to prepare a prospectus or submit it to the Agency (or any other authority) for approval;</w:t>
              </w:r>
            </w:p>
            <w:p>
              <w:pPr>
                <w:pStyle w:val="BodyText"/>
              </w:pPr>
              <w:pPr>
                <w:pStyle w:val="ListParagraph"/>
                <w:numPr>
                  <w:ilvl w:val="0"/>
                  <w:numId w:val="9"/>
                </w:numPr>
              </w:pPr>
              <w:r>
                <w:t xml:space="preserve">the bidder, in principle, is free to determine the price and form of consideration. The offered consideration may be paid in cash, securities or a combination of both. However, where a bidder makes a mandatory tender offer, the price of the tender bid must be no less than the market price;</w:t>
              </w:r>
            </w:p>
            <w:p>
              <w:pPr>
                <w:pStyle w:val="BodyText"/>
              </w:pPr>
              <w:pPr>
                <w:pStyle w:val="ListParagraph"/>
                <w:numPr>
                  <w:ilvl w:val="0"/>
                  <w:numId w:val="9"/>
                </w:numPr>
              </w:pPr>
              <w:r>
                <w:t xml:space="preserve">the bidder is free to make the bid subject to conditions precedent, including a minimum acceptance level, and regulatory and corporate authorizations. However, where a bidder makes a mandatory tender offer, the bid must be unconditional;</w:t>
              </w:r>
            </w:p>
            <w:p>
              <w:pPr>
                <w:pStyle w:val="BodyText"/>
              </w:pPr>
              <w:pPr>
                <w:pStyle w:val="ListParagraph"/>
                <w:numPr>
                  <w:ilvl w:val="0"/>
                  <w:numId w:val="9"/>
                </w:numPr>
              </w:pPr>
              <w:r>
                <w:t xml:space="preserve">there are no creeper rules; and</w:t>
              </w:r>
            </w:p>
            <w:p>
              <w:pPr>
                <w:pStyle w:val="BodyText"/>
              </w:pPr>
              <w:pPr>
                <w:pStyle w:val="ListParagraph"/>
                <w:numPr>
                  <w:ilvl w:val="0"/>
                  <w:numId w:val="9"/>
                </w:numPr>
              </w:pPr>
              <w:r>
                <w:t xml:space="preserve">there are no concepts of recommended and hostile offers or tender offers.</w:t>
              </w:r>
            </w:p>
            <w:p>
              <w:pPr>
                <w:pStyle w:val="BodyText"/>
              </w:pPr>
              <w:r>
                <w:t xml:space="preserve">The bidder may effect the acquisition on a stock exchange or outside of a stock exchange. Where the deal is effected outside of a stock exchange, the above issues may be determined by the bidder on its own (based on its agreement with the shareholders) as there are no specific legal restrictions.</w:t>
              </w:r>
            </w:p>
            <w:p>
              <w:pPr>
                <w:pStyle w:val="BodyText"/>
              </w:pPr>
              <w:r>
                <w:t xml:space="preserve">Where the transaction is settled through a stock exchange, the rules of the relevant stock exchange will apply.</w:t>
              </w:r>
            </w:p>
            <w:p>
              <w:pPr>
                <w:pStyle w:val="BodyText"/>
              </w:pPr>
              <w:r>
                <w:t xml:space="preserve">Under Kazakhstani law, there is no concept of a "fiduciary duty." Thus, a majority shareholder does not owe any particular duties to the minority shareholders in terms of abuse of its dominant position.</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