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Ukraine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20" w:right="20"/>
                  </w:pPr>
                  <w:r>
                    <w:rPr>
                      <w:color w:val="000000"/>
                      <w:bdr w:val="none" w:color="000000" w:sz="16" w:space="1"/>
                    </w:rPr>
                    <w:t xml:space="preserve">The National Bank of Ukraine (NBU) and the National Securities and Stock Market Commission (NSSMC) share oversight vis-à-vis the different groups of financial institutions, as follows: </w:t>
                  </w:r>
                  <w:r>
                    <w:drawing>
                      <wp:inline distT="0" distB="0" distL="0" distR="0">
                        <wp:extent cx="5172075" cy="3419475"/>
                        <wp:effectExtent l="19050" t="0" r="0" b="0"/>
                        <wp:docPr id="5" name="https://resourcehub.bakermckenzie.com/en/-/media/global-financial-services-regulatory-guide/images/ukraine-q1-image.png?rev=626ee2b71b474cb499f5b84d158eaac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financial-services-regulatory-guide/images/ukraine-q1-image.png?rev=626ee2b71b474cb499f5b84d158eaac6&amp;sc_lang=en" descr=""/>
                                <pic:cNvPicPr>
                                  <a:picLocks noChangeAspect="1" noChangeArrowheads="1"/>
                                </pic:cNvPicPr>
                              </pic:nvPicPr>
                              <pic:blipFill>
                                <a:blip r:embed="R13b3684805e1497b"/>
                                <a:srcRect/>
                                <a:stretch>
                                  <a:fillRect/>
                                </a:stretch>
                              </pic:blipFill>
                              <pic:spPr bwMode="auto">
                                <a:xfrm>
                                  <a:off x="0" y="0"/>
                                  <a:ext cx="5172075" cy="3419475"/>
                                </a:xfrm>
                                <a:prstGeom prst="rect">
                                  <a:avLst/>
                                </a:prstGeom>
                              </pic:spPr>
                            </pic:pic>
                          </a:graphicData>
                        </a:graphic>
                      </wp:inline>
                    </w:drawing>
                  </w:r>
                </w:p>
                <w:p>
                  <w:pPr>
                    <w:pStyle w:val="BodyText"/>
                  </w:pPr>
                  <w:pPr>
                    <w:ind w:left="20" w:right="20"/>
                  </w:pPr>
                  <w:r>
                    <w:rPr>
                      <w:color w:val="000000"/>
                      <w:bdr w:val="none" w:color="000000" w:sz="16" w:space="1"/>
                    </w:rPr>
                    <w:t xml:space="preserve">Ukraine has a two-tier financial monitoring system: (i) the initial financial monitoring that is carried out by banks and non-banking financial institutions (IMIs); and (ii) state-level financial monitoring. The bodies of the second tier (state level) govern and supervise the activities of IMIs. The key enforcement role in the second tier belongs to the State Service of Financial Monitoring, which is regarded as a central body of the executive power acting as the financial intelligence unit. Both the NBU and the NSSMC (along with other competent authorities) act as additional second-tier agencies that carry out the regulatory and oversight functions vis-à-vis the respective IMIs.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rPr>
                      <w:color w:val="000000"/>
                    </w:rPr>
                    <w:t xml:space="preserve">The main laws and regulations in the fields of banking and financial services are the following:</w:t>
                  </w:r>
                </w:p>
                <w:p>
                  <w:pPr>
                    <w:pStyle w:val="BodyText"/>
                  </w:pPr>
                  <w:pPr>
                    <w:pStyle w:val="Heading6"/>
                  </w:pPr>
                  <w:r>
                    <w:t xml:space="preserve">Banking services</w:t>
                  </w:r>
                </w:p>
                <w:p>
                  <w:pPr>
                    <w:pStyle w:val="BodyText"/>
                  </w:pPr>
                  <w:pPr>
                    <w:pStyle w:val="ListParagraph"/>
                    <w:numPr>
                      <w:ilvl w:val="0"/>
                      <w:numId w:val="18"/>
                    </w:numPr>
                  </w:pPr>
                  <w:r>
                    <w:rPr>
                      <w:color w:val="000000"/>
                    </w:rPr>
                    <w:t xml:space="preserve">Law of Ukraine "On the National Bank of Ukraine" dated 20 May 1999</w:t>
                  </w:r>
                </w:p>
                <w:p>
                  <w:pPr>
                    <w:pStyle w:val="BodyText"/>
                  </w:pPr>
                  <w:pPr>
                    <w:pStyle w:val="ListParagraph"/>
                    <w:numPr>
                      <w:ilvl w:val="0"/>
                      <w:numId w:val="18"/>
                    </w:numPr>
                  </w:pPr>
                  <w:r>
                    <w:rPr>
                      <w:color w:val="000000"/>
                    </w:rPr>
                    <w:t xml:space="preserve">Law of Ukraine "On Banks and Banking Activity" dated 7 December 2000 ("</w:t>
                  </w:r>
                  <w:r>
                    <w:rPr>
                      <w:b/>
                      <w:color w:val="000000"/>
                    </w:rPr>
                    <w:t xml:space="preserve">Banking Law</w:t>
                  </w:r>
                  <w:r>
                    <w:rPr>
                      <w:color w:val="000000"/>
                    </w:rPr>
                    <w:t xml:space="preserve">")</w:t>
                  </w:r>
                </w:p>
                <w:p>
                  <w:pPr>
                    <w:pStyle w:val="BodyText"/>
                  </w:pPr>
                  <w:pPr>
                    <w:pStyle w:val="ListParagraph"/>
                    <w:numPr>
                      <w:ilvl w:val="0"/>
                      <w:numId w:val="18"/>
                    </w:numPr>
                  </w:pPr>
                  <w:r>
                    <w:rPr>
                      <w:color w:val="000000"/>
                    </w:rPr>
                    <w:t xml:space="preserve">Law of Ukraine "On Financial Services and Financial Companies" dated </w:t>
                  </w:r>
                  <w:r>
                    <w:rPr>
                      <w:color w:val="000000"/>
                    </w:rPr>
                    <w:t xml:space="preserve">14 </w:t>
                  </w:r>
                  <w:r>
                    <w:rPr>
                      <w:color w:val="000000"/>
                    </w:rPr>
                    <w:t xml:space="preserve">December</w:t>
                  </w:r>
                  <w:r>
                    <w:rPr>
                      <w:color w:val="000000"/>
                    </w:rPr>
                    <w:t xml:space="preserve"> 2021</w:t>
                  </w:r>
                  <w:r>
                    <w:rPr>
                      <w:color w:val="000000"/>
                    </w:rPr>
                    <w:t xml:space="preserve"> ("</w:t>
                  </w:r>
                  <w:r>
                    <w:rPr>
                      <w:b/>
                      <w:color w:val="000000"/>
                    </w:rPr>
                    <w:t xml:space="preserve">Financial Services Law</w:t>
                  </w:r>
                  <w:r>
                    <w:rPr>
                      <w:color w:val="000000"/>
                    </w:rPr>
                    <w:t xml:space="preserve">")</w:t>
                  </w:r>
                </w:p>
                <w:p>
                  <w:pPr>
                    <w:pStyle w:val="BodyText"/>
                  </w:pPr>
                  <w:pPr>
                    <w:pStyle w:val="ListParagraph"/>
                    <w:numPr>
                      <w:ilvl w:val="0"/>
                      <w:numId w:val="18"/>
                    </w:numPr>
                  </w:pPr>
                  <w:r>
                    <w:rPr>
                      <w:color w:val="000000"/>
                    </w:rPr>
                    <w:t xml:space="preserve">Law of Ukraine "On Households Deposit Guarantee System" dated 23 February 2012</w:t>
                  </w:r>
                </w:p>
                <w:p>
                  <w:pPr>
                    <w:pStyle w:val="BodyText"/>
                  </w:pPr>
                  <w:pPr>
                    <w:pStyle w:val="ListParagraph"/>
                    <w:numPr>
                      <w:ilvl w:val="0"/>
                      <w:numId w:val="18"/>
                    </w:numPr>
                  </w:pPr>
                  <w:r>
                    <w:rPr>
                      <w:color w:val="000000"/>
                    </w:rPr>
                    <w:t xml:space="preserve">Regulation on Licensing of Banks approved by the NBU Resolution No. 149 on 22 December 2018</w:t>
                  </w:r>
                </w:p>
                <w:p>
                  <w:pPr>
                    <w:pStyle w:val="BodyText"/>
                  </w:pPr>
                  <w:pPr>
                    <w:pStyle w:val="Heading6"/>
                  </w:pPr>
                  <w:r>
                    <w:t xml:space="preserve">Other financial services</w:t>
                  </w:r>
                </w:p>
                <w:p>
                  <w:pPr>
                    <w:pStyle w:val="BodyText"/>
                  </w:pPr>
                  <w:pPr>
                    <w:pStyle w:val="ListParagraph"/>
                    <w:numPr>
                      <w:ilvl w:val="0"/>
                      <w:numId w:val="19"/>
                    </w:numPr>
                  </w:pPr>
                  <w:r>
                    <w:rPr>
                      <w:color w:val="000000"/>
                    </w:rPr>
                    <w:t xml:space="preserve">Financial Services Law</w:t>
                  </w:r>
                </w:p>
                <w:p>
                  <w:pPr>
                    <w:pStyle w:val="BodyText"/>
                  </w:pPr>
                  <w:pPr>
                    <w:pStyle w:val="ListParagraph"/>
                    <w:numPr>
                      <w:ilvl w:val="0"/>
                      <w:numId w:val="19"/>
                    </w:numPr>
                  </w:pPr>
                  <w:r>
                    <w:rPr>
                      <w:color w:val="000000"/>
                    </w:rPr>
                    <w:t xml:space="preserve">Law of Ukraine "On Securities and Stock Market" dated 23 February 2006</w:t>
                  </w:r>
                </w:p>
                <w:p>
                  <w:pPr>
                    <w:pStyle w:val="BodyText"/>
                  </w:pPr>
                  <w:pPr>
                    <w:pStyle w:val="ListParagraph"/>
                    <w:numPr>
                      <w:ilvl w:val="0"/>
                      <w:numId w:val="19"/>
                    </w:numPr>
                  </w:pPr>
                  <w:r>
                    <w:rPr>
                      <w:color w:val="000000"/>
                    </w:rPr>
                    <w:t xml:space="preserve">Law of Ukraine "On Insurance" dated 18 November 2021, entered into force on 1 January 2024</w:t>
                  </w:r>
                </w:p>
                <w:p>
                  <w:pPr>
                    <w:pStyle w:val="BodyText"/>
                  </w:pPr>
                  <w:pPr>
                    <w:pStyle w:val="ListParagraph"/>
                    <w:numPr>
                      <w:ilvl w:val="0"/>
                      <w:numId w:val="19"/>
                    </w:numPr>
                  </w:pPr>
                  <w:r>
                    <w:rPr>
                      <w:color w:val="000000"/>
                    </w:rPr>
                    <w:t xml:space="preserve">Law of Ukraine "On Mutual Funds" dated 5 July 2012</w:t>
                  </w:r>
                </w:p>
                <w:p>
                  <w:pPr>
                    <w:pStyle w:val="BodyText"/>
                  </w:pPr>
                  <w:pPr>
                    <w:pStyle w:val="ListParagraph"/>
                    <w:numPr>
                      <w:ilvl w:val="0"/>
                      <w:numId w:val="19"/>
                    </w:numPr>
                  </w:pPr>
                  <w:r>
                    <w:rPr>
                      <w:color w:val="000000"/>
                    </w:rPr>
                    <w:t xml:space="preserve">Regulations of the NBU</w:t>
                  </w:r>
                </w:p>
                <w:p>
                  <w:pPr>
                    <w:pStyle w:val="BodyText"/>
                  </w:pPr>
                  <w:pPr>
                    <w:pStyle w:val="ListParagraph"/>
                    <w:numPr>
                      <w:ilvl w:val="0"/>
                      <w:numId w:val="19"/>
                    </w:numPr>
                  </w:pPr>
                  <w:r>
                    <w:rPr>
                      <w:color w:val="000000"/>
                    </w:rPr>
                    <w:t xml:space="preserve">Regulations of the NSSMC</w:t>
                  </w:r>
                </w:p>
                <w:p>
                  <w:pPr>
                    <w:pStyle w:val="BodyText"/>
                  </w:pPr>
                  <w:r>
                    <w:t xml:space="preserve">In 2021, the Ukrainian financial services sector went through a major reform. T</w:t>
                  </w:r>
                  <w:r>
                    <w:rPr>
                      <w:color w:val="000000"/>
                    </w:rPr>
                    <w:t xml:space="preserve">he new Financial Services Law established general rules for the provision of all financial services in Ukraine and created a framework for the further development of legislation governing non-banking financial services. In particular, the NBU further adopted the following laws regulating the different types of services:</w:t>
                  </w:r>
                </w:p>
                <w:p>
                  <w:pPr>
                    <w:pStyle w:val="BodyText"/>
                  </w:pPr>
                  <w:pPr>
                    <w:pStyle w:val="ListParagraph"/>
                    <w:numPr>
                      <w:ilvl w:val="0"/>
                      <w:numId w:val="20"/>
                    </w:numPr>
                  </w:pPr>
                  <w:r>
                    <w:rPr>
                      <w:color w:val="000000"/>
                    </w:rPr>
                    <w:t xml:space="preserve">On Payment Services</w:t>
                  </w:r>
                </w:p>
                <w:p>
                  <w:pPr>
                    <w:pStyle w:val="BodyText"/>
                  </w:pPr>
                  <w:pPr>
                    <w:pStyle w:val="ListParagraph"/>
                    <w:numPr>
                      <w:ilvl w:val="0"/>
                      <w:numId w:val="20"/>
                    </w:numPr>
                  </w:pPr>
                  <w:r>
                    <w:rPr>
                      <w:color w:val="000000"/>
                    </w:rPr>
                    <w:t xml:space="preserve">On Credit Unions</w:t>
                  </w:r>
                </w:p>
                <w:p>
                  <w:pPr>
                    <w:pStyle w:val="BodyText"/>
                  </w:pPr>
                  <w:pPr>
                    <w:pStyle w:val="ListParagraph"/>
                    <w:numPr>
                      <w:ilvl w:val="0"/>
                      <w:numId w:val="20"/>
                    </w:numPr>
                  </w:pPr>
                  <w:r>
                    <w:rPr>
                      <w:color w:val="000000"/>
                    </w:rPr>
                    <w:t xml:space="preserve">On Insurance</w:t>
                  </w:r>
                </w:p>
                <w:p>
                  <w:pPr>
                    <w:pStyle w:val="BodyText"/>
                  </w:pPr>
                  <w:pPr>
                    <w:pStyle w:val="ListParagraph"/>
                    <w:numPr>
                      <w:ilvl w:val="0"/>
                      <w:numId w:val="20"/>
                    </w:numPr>
                  </w:pPr>
                  <w:r>
                    <w:rPr>
                      <w:color w:val="000000"/>
                    </w:rPr>
                    <w:t xml:space="preserve">On Financial Leasing </w:t>
                  </w:r>
                </w:p>
                <w:p>
                  <w:pPr>
                    <w:pStyle w:val="BodyText"/>
                  </w:pPr>
                  <w:pPr>
                    <w:spacing w:after="0"/>
                  </w:pPr>
                  <w:r>
                    <w:rPr>
                      <w:color w:val="000000"/>
                    </w:rPr>
                    <w:t xml:space="preserve">The adoption of these laws established new rules for relevant market participants and expanded the range of their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rPr>
                      <w:color w:val="000000"/>
                    </w:rPr>
                    <w:t xml:space="preserve">Subject to certain exceptions, financial services may generally only be rendered by a financial institution that has obtained the relevant license from either the NBU or the NSSMC, as applicable.</w:t>
                  </w:r>
                </w:p>
                <w:p>
                  <w:pPr>
                    <w:pStyle w:val="BodyText"/>
                  </w:pPr>
                  <w:r>
                    <w:t xml:space="preserve">Currently, th</w:t>
                  </w:r>
                  <w:r>
                    <w:t xml:space="preserve">e </w:t>
                  </w:r>
                  <w:r>
                    <w:t xml:space="preserve">list</w:t>
                  </w:r>
                  <w:r>
                    <w:t xml:space="preserve"> of financial services </w:t>
                  </w:r>
                  <w:r>
                    <w:t xml:space="preserve">includes the following types of services:</w:t>
                  </w:r>
                </w:p>
                <w:p>
                  <w:pPr>
                    <w:pStyle w:val="BodyText"/>
                  </w:pPr>
                  <w:pPr>
                    <w:pStyle w:val="ListParagraph"/>
                    <w:numPr>
                      <w:ilvl w:val="0"/>
                      <w:numId w:val="13"/>
                    </w:numPr>
                  </w:pPr>
                  <w:r>
                    <w:t xml:space="preserve">T</w:t>
                  </w:r>
                  <w:r>
                    <w:t xml:space="preserve">rading of currency valuables</w:t>
                  </w:r>
                </w:p>
                <w:p>
                  <w:pPr>
                    <w:pStyle w:val="BodyText"/>
                  </w:pPr>
                  <w:pPr>
                    <w:pStyle w:val="ListParagraph"/>
                    <w:numPr>
                      <w:ilvl w:val="0"/>
                      <w:numId w:val="13"/>
                    </w:numPr>
                  </w:pPr>
                  <w:r>
                    <w:t xml:space="preserve">A</w:t>
                  </w:r>
                  <w:r>
                    <w:t xml:space="preserve">ttraction of financial assets with an obligation of their subsequent repayment</w:t>
                  </w:r>
                </w:p>
                <w:p>
                  <w:pPr>
                    <w:pStyle w:val="BodyText"/>
                  </w:pPr>
                  <w:pPr>
                    <w:pStyle w:val="ListParagraph"/>
                    <w:numPr>
                      <w:ilvl w:val="0"/>
                      <w:numId w:val="13"/>
                    </w:numPr>
                  </w:pPr>
                  <w:r>
                    <w:t xml:space="preserve">F</w:t>
                  </w:r>
                  <w:r>
                    <w:t xml:space="preserve">inancial leasing</w:t>
                  </w:r>
                </w:p>
                <w:p>
                  <w:pPr>
                    <w:pStyle w:val="BodyText"/>
                  </w:pPr>
                  <w:pPr>
                    <w:pStyle w:val="ListParagraph"/>
                    <w:numPr>
                      <w:ilvl w:val="0"/>
                      <w:numId w:val="13"/>
                    </w:numPr>
                  </w:pPr>
                  <w:r>
                    <w:t xml:space="preserve">P</w:t>
                  </w:r>
                  <w:r>
                    <w:t xml:space="preserve">rovision of loans, including on the terms of a financial loan</w:t>
                  </w:r>
                </w:p>
                <w:p>
                  <w:pPr>
                    <w:pStyle w:val="BodyText"/>
                  </w:pPr>
                  <w:pPr>
                    <w:pStyle w:val="ListParagraph"/>
                    <w:numPr>
                      <w:ilvl w:val="0"/>
                      <w:numId w:val="13"/>
                    </w:numPr>
                  </w:pPr>
                  <w:r>
                    <w:t xml:space="preserve">P</w:t>
                  </w:r>
                  <w:r>
                    <w:t xml:space="preserve">rovision of guarantees</w:t>
                  </w:r>
                </w:p>
                <w:p>
                  <w:pPr>
                    <w:pStyle w:val="BodyText"/>
                  </w:pPr>
                  <w:pPr>
                    <w:pStyle w:val="ListParagraph"/>
                    <w:numPr>
                      <w:ilvl w:val="0"/>
                      <w:numId w:val="13"/>
                    </w:numPr>
                  </w:pPr>
                  <w:r>
                    <w:t xml:space="preserve">M</w:t>
                  </w:r>
                  <w:r>
                    <w:t xml:space="preserve">oney transfers</w:t>
                  </w:r>
                </w:p>
                <w:p>
                  <w:pPr>
                    <w:pStyle w:val="BodyText"/>
                  </w:pPr>
                  <w:pPr>
                    <w:pStyle w:val="ListParagraph"/>
                    <w:numPr>
                      <w:ilvl w:val="0"/>
                      <w:numId w:val="13"/>
                    </w:numPr>
                  </w:pPr>
                  <w:r>
                    <w:t xml:space="preserve">I</w:t>
                  </w:r>
                  <w:r>
                    <w:t xml:space="preserve">n the sphere of insurance</w:t>
                  </w:r>
                </w:p>
                <w:p>
                  <w:pPr>
                    <w:pStyle w:val="BodyText"/>
                  </w:pPr>
                  <w:pPr>
                    <w:pStyle w:val="ListParagraph"/>
                    <w:numPr>
                      <w:ilvl w:val="0"/>
                      <w:numId w:val="13"/>
                    </w:numPr>
                  </w:pPr>
                  <w:r>
                    <w:t xml:space="preserve">A</w:t>
                  </w:r>
                  <w:r>
                    <w:t xml:space="preserve">ctivities within the system of a cumulative pension provision</w:t>
                  </w:r>
                </w:p>
                <w:p>
                  <w:pPr>
                    <w:pStyle w:val="BodyText"/>
                  </w:pPr>
                  <w:pPr>
                    <w:pStyle w:val="ListParagraph"/>
                    <w:numPr>
                      <w:ilvl w:val="0"/>
                      <w:numId w:val="13"/>
                    </w:numPr>
                  </w:pPr>
                  <w:r>
                    <w:t xml:space="preserve">P</w:t>
                  </w:r>
                  <w:r>
                    <w:t xml:space="preserve">rofessional activity on the securities market</w:t>
                  </w:r>
                </w:p>
                <w:p>
                  <w:pPr>
                    <w:pStyle w:val="BodyText"/>
                  </w:pPr>
                  <w:pPr>
                    <w:pStyle w:val="ListParagraph"/>
                    <w:numPr>
                      <w:ilvl w:val="0"/>
                      <w:numId w:val="13"/>
                    </w:numPr>
                  </w:pPr>
                  <w:r>
                    <w:t xml:space="preserve">F</w:t>
                  </w:r>
                  <w:r>
                    <w:t xml:space="preserve">actoring</w:t>
                  </w:r>
                </w:p>
                <w:p>
                  <w:pPr>
                    <w:pStyle w:val="BodyText"/>
                  </w:pPr>
                  <w:pPr>
                    <w:pStyle w:val="ListParagraph"/>
                    <w:numPr>
                      <w:ilvl w:val="0"/>
                      <w:numId w:val="13"/>
                    </w:numPr>
                  </w:pPr>
                  <w:r>
                    <w:t xml:space="preserve">B</w:t>
                  </w:r>
                  <w:r>
                    <w:t xml:space="preserve">anking and other financial services provided under the </w:t>
                  </w:r>
                  <w:r>
                    <w:t xml:space="preserve">Banking Law</w:t>
                  </w:r>
                </w:p>
                <w:p>
                  <w:pPr>
                    <w:pStyle w:val="BodyText"/>
                  </w:pPr>
                  <w:pPr>
                    <w:pStyle w:val="Heading6"/>
                  </w:pPr>
                  <w:r>
                    <w:t xml:space="preserve">Banking activities</w:t>
                  </w:r>
                </w:p>
                <w:p>
                  <w:pPr>
                    <w:pStyle w:val="BodyText"/>
                  </w:pPr>
                  <w:pPr>
                    <w:spacing w:after="0"/>
                  </w:pPr>
                  <w:r>
                    <w:rPr>
                      <w:color w:val="000000"/>
                    </w:rPr>
                    <w:t xml:space="preserve">A commercial bank carries out its banking activities pursuant to a banking license issued by the NBU. A banking license allows a bank to attract funds (deposits) from legal entities and individuals; open, maintain and carry out transactions with current accounts of clients and correspondent banks; and place attracted funds in its own name, on its own terms, and at its own risk. Only a duly licensed commercial bank may carry out all of the foregoing, except for certain banking operations that may be carried out by the Central Securities Depository based on the license of the NBU. A duly licensed commercial bank may also render financial services to its clients (save for other commercial banks), including through its commercial agents, based on agency agreements. The list of such services is set out by the NBU.</w:t>
                  </w:r>
                </w:p>
                <w:p>
                  <w:pPr>
                    <w:pStyle w:val="BodyText"/>
                  </w:pPr>
                  <w:pPr>
                    <w:spacing w:after="0"/>
                  </w:pPr>
                  <w:r>
                    <w:rPr>
                      <w:color w:val="000000"/>
                    </w:rPr>
                    <w:t xml:space="preserve">In addition, a duly licensed commercial bank may also carry out the following activities:</w:t>
                  </w:r>
                </w:p>
                <w:p>
                  <w:pPr>
                    <w:pStyle w:val="BodyText"/>
                  </w:pPr>
                  <w:pPr>
                    <w:pStyle w:val="ListParagraph"/>
                    <w:numPr>
                      <w:ilvl w:val="0"/>
                      <w:numId w:val="14"/>
                    </w:numPr>
                  </w:pPr>
                  <w:r>
                    <w:rPr>
                      <w:color w:val="000000"/>
                    </w:rPr>
                    <w:t xml:space="preserve">Issuance of its own securities</w:t>
                  </w:r>
                </w:p>
                <w:p>
                  <w:pPr>
                    <w:pStyle w:val="BodyText"/>
                  </w:pPr>
                  <w:pPr>
                    <w:pStyle w:val="ListParagraph"/>
                    <w:numPr>
                      <w:ilvl w:val="0"/>
                      <w:numId w:val="14"/>
                    </w:numPr>
                  </w:pPr>
                  <w:r>
                    <w:rPr>
                      <w:color w:val="000000"/>
                    </w:rPr>
                    <w:t xml:space="preserve">Provision of safekeeping services (but not including the custody of securities)</w:t>
                  </w:r>
                </w:p>
                <w:p>
                  <w:pPr>
                    <w:pStyle w:val="BodyText"/>
                  </w:pPr>
                  <w:pPr>
                    <w:pStyle w:val="ListParagraph"/>
                    <w:numPr>
                      <w:ilvl w:val="0"/>
                      <w:numId w:val="14"/>
                    </w:numPr>
                  </w:pPr>
                  <w:r>
                    <w:rPr>
                      <w:color w:val="000000"/>
                    </w:rPr>
                    <w:t xml:space="preserve">Rendering of consulting and information services related to banking and other financial services</w:t>
                  </w:r>
                </w:p>
                <w:p>
                  <w:pPr>
                    <w:pStyle w:val="BodyText"/>
                  </w:pPr>
                  <w:pPr>
                    <w:pStyle w:val="ListParagraph"/>
                    <w:numPr>
                      <w:ilvl w:val="0"/>
                      <w:numId w:val="14"/>
                    </w:numPr>
                  </w:pPr>
                  <w:r>
                    <w:rPr>
                      <w:color w:val="000000"/>
                    </w:rPr>
                    <w:t xml:space="preserve">Investments</w:t>
                  </w:r>
                </w:p>
                <w:p>
                  <w:pPr>
                    <w:pStyle w:val="BodyText"/>
                  </w:pPr>
                  <w:pPr>
                    <w:pStyle w:val="ListParagraph"/>
                    <w:numPr>
                      <w:ilvl w:val="0"/>
                      <w:numId w:val="14"/>
                    </w:numPr>
                  </w:pPr>
                  <w:r>
                    <w:rPr>
                      <w:color w:val="000000"/>
                    </w:rPr>
                    <w:t xml:space="preserve">Organization of monetary lotteries</w:t>
                  </w:r>
                </w:p>
                <w:p>
                  <w:pPr>
                    <w:pStyle w:val="BodyText"/>
                  </w:pPr>
                  <w:pPr>
                    <w:pStyle w:val="ListParagraph"/>
                    <w:numPr>
                      <w:ilvl w:val="0"/>
                      <w:numId w:val="14"/>
                    </w:numPr>
                  </w:pPr>
                  <w:r>
                    <w:rPr>
                      <w:color w:val="000000"/>
                    </w:rPr>
                    <w:t xml:space="preserve">Transportation of currency valuables and cash collection</w:t>
                  </w:r>
                </w:p>
                <w:p>
                  <w:pPr>
                    <w:pStyle w:val="BodyText"/>
                  </w:pPr>
                  <w:pPr>
                    <w:spacing w:after="0"/>
                  </w:pPr>
                  <w:r>
                    <w:rPr>
                      <w:color w:val="000000"/>
                    </w:rPr>
                    <w:t xml:space="preserve">A duly licensed commercial bank may also render banking and other financial services in foreign currencies, which constitute foreign currency operations, based on its banking license issued by the NBU.</w:t>
                  </w:r>
                </w:p>
                <w:p>
                  <w:pPr>
                    <w:pStyle w:val="BodyText"/>
                  </w:pPr>
                  <w:pPr>
                    <w:pStyle w:val="Heading6"/>
                  </w:pPr>
                  <w:r>
                    <w:t xml:space="preserve">Other financial services activities</w:t>
                  </w:r>
                </w:p>
                <w:p>
                  <w:pPr>
                    <w:pStyle w:val="BodyText"/>
                  </w:pPr>
                  <w:pPr>
                    <w:spacing w:after="0"/>
                  </w:pPr>
                  <w:r>
                    <w:rPr>
                      <w:color w:val="000000"/>
                    </w:rPr>
                    <w:t xml:space="preserve">Pursuant to the applicable Ukrainian legislation, the NBU issues licenses for the following:</w:t>
                  </w:r>
                  <w:r>
                    <w:t xml:space="preserve"> </w:t>
                  </w:r>
                </w:p>
                <w:p>
                  <w:pPr>
                    <w:pStyle w:val="BodyText"/>
                  </w:pPr>
                  <w:pPr>
                    <w:pStyle w:val="ListParagraph"/>
                    <w:numPr>
                      <w:ilvl w:val="0"/>
                      <w:numId w:val="15"/>
                    </w:numPr>
                  </w:pPr>
                  <w:r>
                    <w:rPr>
                      <w:color w:val="000000"/>
                    </w:rPr>
                    <w:t xml:space="preserve">Trading of currency valuables</w:t>
                  </w:r>
                </w:p>
                <w:p>
                  <w:pPr>
                    <w:pStyle w:val="BodyText"/>
                  </w:pPr>
                  <w:pPr>
                    <w:pStyle w:val="ListParagraph"/>
                    <w:numPr>
                      <w:ilvl w:val="0"/>
                      <w:numId w:val="15"/>
                    </w:numPr>
                  </w:pPr>
                  <w:r>
                    <w:rPr>
                      <w:color w:val="000000"/>
                    </w:rPr>
                    <w:t xml:space="preserve">Attraction of financial assets with an obligation of their subsequent repayment</w:t>
                  </w:r>
                </w:p>
                <w:p>
                  <w:pPr>
                    <w:pStyle w:val="BodyText"/>
                  </w:pPr>
                  <w:pPr>
                    <w:pStyle w:val="ListParagraph"/>
                    <w:numPr>
                      <w:ilvl w:val="0"/>
                      <w:numId w:val="15"/>
                    </w:numPr>
                  </w:pPr>
                  <w:r>
                    <w:rPr>
                      <w:color w:val="000000"/>
                    </w:rPr>
                    <w:t xml:space="preserve">Financial leasing</w:t>
                  </w:r>
                </w:p>
                <w:p>
                  <w:pPr>
                    <w:pStyle w:val="BodyText"/>
                  </w:pPr>
                  <w:pPr>
                    <w:pStyle w:val="ListParagraph"/>
                    <w:numPr>
                      <w:ilvl w:val="0"/>
                      <w:numId w:val="15"/>
                    </w:numPr>
                  </w:pPr>
                  <w:r>
                    <w:rPr>
                      <w:color w:val="000000"/>
                    </w:rPr>
                    <w:t xml:space="preserve">Provision of loans, including on the terms of a financial loan</w:t>
                  </w:r>
                </w:p>
                <w:p>
                  <w:pPr>
                    <w:pStyle w:val="BodyText"/>
                  </w:pPr>
                  <w:pPr>
                    <w:pStyle w:val="ListParagraph"/>
                    <w:numPr>
                      <w:ilvl w:val="0"/>
                      <w:numId w:val="15"/>
                    </w:numPr>
                  </w:pPr>
                  <w:r>
                    <w:rPr>
                      <w:color w:val="000000"/>
                    </w:rPr>
                    <w:t xml:space="preserve">Provision of guarantees</w:t>
                  </w:r>
                </w:p>
                <w:p>
                  <w:pPr>
                    <w:pStyle w:val="BodyText"/>
                  </w:pPr>
                  <w:pPr>
                    <w:pStyle w:val="ListParagraph"/>
                    <w:numPr>
                      <w:ilvl w:val="0"/>
                      <w:numId w:val="15"/>
                    </w:numPr>
                  </w:pPr>
                  <w:r>
                    <w:rPr>
                      <w:color w:val="000000"/>
                    </w:rPr>
                    <w:t xml:space="preserve">Money transfers</w:t>
                  </w:r>
                </w:p>
                <w:p>
                  <w:pPr>
                    <w:pStyle w:val="BodyText"/>
                  </w:pPr>
                  <w:pPr>
                    <w:pStyle w:val="ListParagraph"/>
                    <w:numPr>
                      <w:ilvl w:val="0"/>
                      <w:numId w:val="15"/>
                    </w:numPr>
                  </w:pPr>
                  <w:r>
                    <w:rPr>
                      <w:color w:val="000000"/>
                    </w:rPr>
                    <w:t xml:space="preserve">In the sphere of insurance</w:t>
                  </w:r>
                </w:p>
                <w:p>
                  <w:pPr>
                    <w:pStyle w:val="BodyText"/>
                  </w:pPr>
                  <w:pPr>
                    <w:pStyle w:val="ListParagraph"/>
                    <w:numPr>
                      <w:ilvl w:val="0"/>
                      <w:numId w:val="15"/>
                    </w:numPr>
                  </w:pPr>
                  <w:r>
                    <w:rPr>
                      <w:color w:val="000000"/>
                    </w:rPr>
                    <w:t xml:space="preserve">Factoring</w:t>
                  </w:r>
                </w:p>
                <w:p>
                  <w:pPr>
                    <w:pStyle w:val="BodyText"/>
                  </w:pPr>
                  <w:pPr>
                    <w:pStyle w:val="Heading6"/>
                  </w:pPr>
                  <w:r>
                    <w:rPr>
                      <w:color w:val="000000"/>
                    </w:rPr>
                    <w:t xml:space="preserve">The NSSMC issues licenses for the following:</w:t>
                  </w:r>
                </w:p>
                <w:p>
                  <w:pPr>
                    <w:pStyle w:val="BodyText"/>
                  </w:pPr>
                  <w:pPr>
                    <w:pStyle w:val="ListParagraph"/>
                    <w:numPr>
                      <w:ilvl w:val="0"/>
                      <w:numId w:val="16"/>
                    </w:numPr>
                  </w:pPr>
                  <w:r>
                    <w:rPr>
                      <w:color w:val="000000"/>
                    </w:rPr>
                    <w:t xml:space="preserve">Activities within the system of a cumulative pension provision</w:t>
                  </w:r>
                </w:p>
                <w:p>
                  <w:pPr>
                    <w:pStyle w:val="BodyText"/>
                  </w:pPr>
                  <w:pPr>
                    <w:pStyle w:val="ListParagraph"/>
                    <w:numPr>
                      <w:ilvl w:val="0"/>
                      <w:numId w:val="16"/>
                    </w:numPr>
                  </w:pPr>
                  <w:r>
                    <w:rPr>
                      <w:color w:val="000000"/>
                    </w:rPr>
                    <w:t xml:space="preserve">Professional activity on the capital markets</w:t>
                  </w:r>
                </w:p>
                <w:p>
                  <w:pPr>
                    <w:pStyle w:val="BodyText"/>
                  </w:pPr>
                  <w:pPr>
                    <w:jc w:val="both"/>
                  </w:pPr>
                  <w:r>
                    <w:t xml:space="preserve">Status of cryptoassets and cryptocurrencies</w:t>
                  </w:r>
                </w:p>
                <w:p>
                  <w:pPr>
                    <w:pStyle w:val="BodyText"/>
                  </w:pPr>
                  <w:r>
                    <w:rPr>
                      <w:color w:val="000000"/>
                    </w:rPr>
                    <w:t xml:space="preserve">On 6 December 2019, Verkhovna Rada of Ukraine partially implemented the 5th EU AML Directive and the respective FATF guidance and introduced a "virtual asset" concept.  Moreover, it extended the list of obliged entities engaged in the following activities:</w:t>
                  </w:r>
                </w:p>
                <w:p>
                  <w:pPr>
                    <w:pStyle w:val="BodyText"/>
                  </w:pPr>
                  <w:pPr>
                    <w:pStyle w:val="ListParagraph"/>
                    <w:numPr>
                      <w:ilvl w:val="0"/>
                      <w:numId w:val="17"/>
                    </w:numPr>
                  </w:pPr>
                  <w:r>
                    <w:rPr>
                      <w:color w:val="000000"/>
                    </w:rPr>
                    <w:t xml:space="preserve">Exchange of virtual assets </w:t>
                  </w:r>
                </w:p>
                <w:p>
                  <w:pPr>
                    <w:pStyle w:val="BodyText"/>
                  </w:pPr>
                  <w:pPr>
                    <w:pStyle w:val="ListParagraph"/>
                    <w:numPr>
                      <w:ilvl w:val="0"/>
                      <w:numId w:val="17"/>
                    </w:numPr>
                  </w:pPr>
                  <w:r>
                    <w:rPr>
                      <w:color w:val="000000"/>
                    </w:rPr>
                    <w:t xml:space="preserve">Transfer of virtual assets </w:t>
                  </w:r>
                </w:p>
                <w:p>
                  <w:pPr>
                    <w:pStyle w:val="BodyText"/>
                  </w:pPr>
                  <w:pPr>
                    <w:pStyle w:val="ListParagraph"/>
                    <w:numPr>
                      <w:ilvl w:val="0"/>
                      <w:numId w:val="17"/>
                    </w:numPr>
                  </w:pPr>
                  <w:r>
                    <w:rPr>
                      <w:color w:val="000000"/>
                    </w:rPr>
                    <w:t xml:space="preserve">Custody and/or administration of virtual assets or instruments, which enable their control </w:t>
                  </w:r>
                </w:p>
                <w:p>
                  <w:pPr>
                    <w:pStyle w:val="BodyText"/>
                  </w:pPr>
                  <w:pPr>
                    <w:pStyle w:val="ListParagraph"/>
                    <w:numPr>
                      <w:ilvl w:val="0"/>
                      <w:numId w:val="17"/>
                    </w:numPr>
                  </w:pPr>
                  <w:r>
                    <w:rPr>
                      <w:color w:val="000000"/>
                    </w:rPr>
                    <w:t xml:space="preserve">Participation and provision of financial services related to the issuer's offering and/or sale of virtual assets</w:t>
                  </w:r>
                </w:p>
                <w:p>
                  <w:pPr>
                    <w:pStyle w:val="BodyText"/>
                  </w:pPr>
                  <w:pPr>
                    <w:pStyle w:val="Heading6"/>
                    <w:spacing w:after="0"/>
                  </w:pPr>
                  <w:r>
                    <w:t xml:space="preserve"> </w:t>
                  </w:r>
                </w:p>
                <w:p>
                  <w:pPr>
                    <w:pStyle w:val="BodyText"/>
                  </w:pPr>
                  <w:pPr>
                    <w:spacing w:after="0"/>
                  </w:pPr>
                  <w:r>
                    <w:t xml:space="preserve">In addition, on 2 December 2020, Verkhovna Rada of Ukraine adopted in the first reading the draft law on virtual assets. It was signed by the President of Ukraine on 17 February 2022, but has not entered into force. Among other things, it sets out: (i) the legal status of the virtual assets; (ii) their issuance rules; (iii) the relevant regulator and scope of its powers; and (iv) the liability for a breach of conduct of business rules.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rPr>
                      <w:color w:val="000000"/>
                    </w:rPr>
                    <w:t xml:space="preserve">Where the service provider is a foreign entity and the client is a Ukrainian resident, Ukrainian legislation neither expressly requires that the service provider be subject to licensing and/or registration in Ukraine, nor does it provide for any explicit criteria to determine when a particular financial product or service should be deemed to be rendered in Ukraine. In the absence of an express legal requirement, a foreign provider of financial services is advised to seek additional guidance on a case-by-case basis (taking into account its specific business model) on whether it would be required to be licensed and/or registered in Ukraine if it renders relevant services from outside of Ukraine.</w:t>
                  </w:r>
                  <w:r>
                    <w:br/>
                  </w:r>
                  <w:r>
                    <w:br/>
                  </w:r>
                  <w:r>
                    <w:rPr>
                      <w:color w:val="000000"/>
                    </w:rPr>
                    <w:t xml:space="preserve">Additionally, in 2020 Ukraine adopted an ambitious legal framework governing the activity of capital markets intermediaries, making foreign capital market intermediaries subject to a specific licensing regime in Ukraine. The NSSMC is authorized to adopt specific guidelines that should enable foreign intermediaries to obtain necessary authorizations for acting as professional intermediaries in Ukraine.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color w:val="000000"/>
                    </w:rPr>
                    <w:t xml:space="preserve">Banking activities</w:t>
                  </w:r>
                </w:p>
                <w:p>
                  <w:pPr>
                    <w:pStyle w:val="BodyText"/>
                  </w:pPr>
                  <w:r>
                    <w:rPr>
                      <w:color w:val="000000"/>
                    </w:rPr>
                    <w:t xml:space="preserve">Under the Banking Law, a commercial bank registered with the NBU may only commence its banking operations upon obtaining a banking license from the NBU. The NBU decides to grant the banking license on the basis of a bank’s application within two months upon receipt of the documents evidencing that the bank has satisfied the following requirements:</w:t>
                  </w:r>
                </w:p>
                <w:p>
                  <w:pPr>
                    <w:pStyle w:val="BodyText"/>
                  </w:pPr>
                  <w:pPr>
                    <w:pStyle w:val="ListParagraph"/>
                    <w:numPr>
                      <w:ilvl w:val="0"/>
                      <w:numId w:val="12"/>
                    </w:numPr>
                  </w:pPr>
                  <w:r>
                    <w:rPr>
                      <w:color w:val="000000"/>
                    </w:rPr>
                    <w:t xml:space="preserve">Share capital is fully paid up and registered in conformity with the requirements of the Banking Law.</w:t>
                  </w:r>
                </w:p>
                <w:p>
                  <w:pPr>
                    <w:pStyle w:val="BodyText"/>
                  </w:pPr>
                  <w:pPr>
                    <w:pStyle w:val="ListParagraph"/>
                    <w:numPr>
                      <w:ilvl w:val="0"/>
                      <w:numId w:val="12"/>
                    </w:numPr>
                  </w:pPr>
                  <w:r>
                    <w:rPr>
                      <w:color w:val="000000"/>
                    </w:rPr>
                    <w:t xml:space="preserve">The bank is fully equipped with banking equipment, computer hardware and software, and appropriate leased or owned banking office premises.</w:t>
                  </w:r>
                </w:p>
                <w:p>
                  <w:pPr>
                    <w:pStyle w:val="BodyText"/>
                  </w:pPr>
                  <w:pPr>
                    <w:pStyle w:val="ListParagraph"/>
                    <w:numPr>
                      <w:ilvl w:val="0"/>
                      <w:numId w:val="12"/>
                    </w:numPr>
                  </w:pPr>
                  <w:r>
                    <w:rPr>
                      <w:color w:val="000000"/>
                    </w:rPr>
                    <w:t xml:space="preserve">At least three individuals who possess the necessary professional skills and business reputation are appointed as board members.</w:t>
                  </w:r>
                </w:p>
                <w:p>
                  <w:pPr>
                    <w:pStyle w:val="BodyText"/>
                  </w:pPr>
                  <w:pPr>
                    <w:pStyle w:val="ListParagraph"/>
                    <w:numPr>
                      <w:ilvl w:val="0"/>
                      <w:numId w:val="12"/>
                    </w:numPr>
                  </w:pPr>
                  <w:r>
                    <w:rPr>
                      <w:color w:val="000000"/>
                    </w:rPr>
                    <w:t xml:space="preserve">Individuals who possess the necessary professional skills and business reputation are appointed as chief accountant and head of internal audit.</w:t>
                  </w:r>
                </w:p>
                <w:p>
                  <w:pPr>
                    <w:pStyle w:val="BodyText"/>
                  </w:pPr>
                  <w:r>
                    <w:rPr>
                      <w:color w:val="000000"/>
                    </w:rPr>
                    <w:t xml:space="preserve">The NBU may refuse to grant the license if these requirements are not complied with by a bank within one year from the date of its state registration. In such cases, the state registration of the bank would be cancelled and the bank would be subject to liquidation procedures.</w:t>
                  </w:r>
                </w:p>
                <w:p>
                  <w:pPr>
                    <w:pStyle w:val="BodyText"/>
                  </w:pPr>
                  <w:r>
                    <w:rPr>
                      <w:b/>
                      <w:color w:val="000000"/>
                    </w:rPr>
                    <w:t xml:space="preserve">Other financial services activities</w:t>
                  </w:r>
                </w:p>
                <w:p>
                  <w:pPr>
                    <w:pStyle w:val="BodyText"/>
                  </w:pPr>
                  <w:pPr>
                    <w:ind w:left="0"/>
                  </w:pPr>
                  <w:r>
                    <w:rPr>
                      <w:color w:val="000000"/>
                    </w:rPr>
                    <w:t xml:space="preserve">The requirements to obtain authorization and the process for becoming authorized in the field of financial activity depend on the type of financial institution (insurance company, custodian, pension fund, etc.). Ukrainian legislation provides for different requirements and procedures for each type of financial institution.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Banking activity</w:t>
                  </w:r>
                </w:p>
                <w:p>
                  <w:pPr>
                    <w:pStyle w:val="BodyText"/>
                  </w:pPr>
                  <w:pPr>
                    <w:jc w:val="both"/>
                  </w:pPr>
                  <w:r>
                    <w:t xml:space="preserve">In order to obtain a banking license (authorization to perform banking services), an applicant must submit to the NBU an application form (based on the form provided by the legislation) and a set of supporting documents which, inter alia, includes the following:</w:t>
                  </w:r>
                </w:p>
                <w:p>
                  <w:pPr>
                    <w:pStyle w:val="BodyText"/>
                  </w:pPr>
                  <w:pPr>
                    <w:pStyle w:val="ListParagraph"/>
                    <w:numPr>
                      <w:ilvl w:val="0"/>
                      <w:numId w:val="10"/>
                    </w:numPr>
                  </w:pPr>
                  <w:r>
                    <w:t xml:space="preserve">A copy of the by-laws of the bank with the state registrar’s indication of the state registration of the legal entity</w:t>
                  </w:r>
                </w:p>
                <w:p>
                  <w:pPr>
                    <w:pStyle w:val="BodyText"/>
                  </w:pPr>
                  <w:pPr>
                    <w:pStyle w:val="ListParagraph"/>
                    <w:numPr>
                      <w:ilvl w:val="0"/>
                      <w:numId w:val="10"/>
                    </w:numPr>
                  </w:pPr>
                  <w:r>
                    <w:t xml:space="preserve">For a bank established as a joint-stock company, copies of the report registered by the NSSMC on the results of private stock placement and certificate of registration of issue of shares</w:t>
                  </w:r>
                </w:p>
                <w:p>
                  <w:pPr>
                    <w:pStyle w:val="BodyText"/>
                  </w:pPr>
                  <w:pPr>
                    <w:pStyle w:val="ListParagraph"/>
                    <w:numPr>
                      <w:ilvl w:val="0"/>
                      <w:numId w:val="10"/>
                    </w:numPr>
                  </w:pPr>
                  <w:r>
                    <w:t xml:space="preserve">Information on the number of members of the Supervisory Council, the Board, and the Revision Committee</w:t>
                  </w:r>
                </w:p>
                <w:p>
                  <w:pPr>
                    <w:pStyle w:val="BodyText"/>
                  </w:pPr>
                  <w:pPr>
                    <w:pStyle w:val="ListParagraph"/>
                    <w:numPr>
                      <w:ilvl w:val="0"/>
                      <w:numId w:val="10"/>
                    </w:numPr>
                  </w:pPr>
                  <w:r>
                    <w:t xml:space="preserve">Evidence set out in an NBU form showing the following:</w:t>
                  </w:r>
                </w:p>
                <w:p>
                  <w:pPr>
                    <w:pStyle w:val="BodyText"/>
                  </w:pPr>
                  <w:pPr>
                    <w:pStyle w:val="ListParagraph"/>
                    <w:numPr>
                      <w:ilvl w:val="1"/>
                      <w:numId w:val="11"/>
                    </w:numPr>
                    <w:ind w:left="1560"/>
                  </w:pPr>
                  <w:r>
                    <w:t xml:space="preserve">The availability of at least three persons, appointed members of the board, including its chairman, as well as information on their professional skills and business reputation</w:t>
                  </w:r>
                </w:p>
                <w:p>
                  <w:pPr>
                    <w:pStyle w:val="BodyText"/>
                  </w:pPr>
                  <w:pPr>
                    <w:pStyle w:val="ListParagraph"/>
                    <w:numPr>
                      <w:ilvl w:val="1"/>
                      <w:numId w:val="11"/>
                    </w:numPr>
                    <w:ind w:left="1560"/>
                  </w:pPr>
                  <w:r>
                    <w:t xml:space="preserve">The professional skills of the chief accountant and the head of Internal Audit</w:t>
                  </w:r>
                </w:p>
                <w:p>
                  <w:pPr>
                    <w:pStyle w:val="BodyText"/>
                  </w:pPr>
                  <w:pPr>
                    <w:pStyle w:val="ListParagraph"/>
                    <w:numPr>
                      <w:ilvl w:val="1"/>
                      <w:numId w:val="11"/>
                    </w:numPr>
                    <w:ind w:left="1560"/>
                  </w:pPr>
                  <w:r>
                    <w:t xml:space="preserve">The business reputation of the supervisory council members, chief accountant and the head of Internal Audit</w:t>
                  </w:r>
                </w:p>
                <w:p>
                  <w:pPr>
                    <w:pStyle w:val="BodyText"/>
                  </w:pPr>
                  <w:pPr>
                    <w:pStyle w:val="ListParagraph"/>
                    <w:numPr>
                      <w:ilvl w:val="1"/>
                      <w:numId w:val="11"/>
                    </w:numPr>
                    <w:ind w:left="1560"/>
                  </w:pPr>
                  <w:r>
                    <w:t xml:space="preserve">The availability of the organizational structure and corresponding specialists necessary to ensure the provision of banking and other financial services, banking equipment, computers, software and premises compliant with NBU requirements</w:t>
                  </w:r>
                </w:p>
                <w:p>
                  <w:pPr>
                    <w:pStyle w:val="BodyText"/>
                  </w:pPr>
                  <w:pPr>
                    <w:pStyle w:val="ListParagraph"/>
                    <w:numPr>
                      <w:ilvl w:val="0"/>
                      <w:numId w:val="10"/>
                    </w:numPr>
                  </w:pPr>
                  <w:r>
                    <w:t xml:space="preserve">Copies of the internal bank regulations that a) govern the rendering of banking and other financial services and b) determine the performance of internal control and risk management procedures</w:t>
                  </w:r>
                </w:p>
                <w:p>
                  <w:pPr>
                    <w:pStyle w:val="BodyText"/>
                  </w:pPr>
                  <w:pPr>
                    <w:pStyle w:val="ListParagraph"/>
                    <w:numPr>
                      <w:ilvl w:val="0"/>
                      <w:numId w:val="10"/>
                    </w:numPr>
                  </w:pPr>
                  <w:r>
                    <w:t xml:space="preserve">A business plan for three years compiled in line with NBU requirements</w:t>
                  </w:r>
                </w:p>
                <w:p>
                  <w:pPr>
                    <w:pStyle w:val="BodyText"/>
                  </w:pPr>
                  <w:pPr>
                    <w:pStyle w:val="ListParagraph"/>
                    <w:numPr>
                      <w:ilvl w:val="0"/>
                      <w:numId w:val="10"/>
                    </w:numPr>
                  </w:pPr>
                  <w:r>
                    <w:t xml:space="preserve">A copy of the payment document confirming payment of the fee for the banking license in an amount determined by the NBU</w:t>
                  </w:r>
                </w:p>
                <w:p>
                  <w:pPr>
                    <w:pStyle w:val="BodyText"/>
                  </w:pPr>
                  <w:pPr>
                    <w:jc w:val="both"/>
                  </w:pPr>
                  <w:r>
                    <w:t xml:space="preserve">The NBU must decide whether to grant the banking license within two months from the day on which it received the full set of documents.</w:t>
                  </w:r>
                </w:p>
                <w:p>
                  <w:pPr>
                    <w:pStyle w:val="BodyText"/>
                  </w:pPr>
                  <w:r>
                    <w:rPr>
                      <w:b/>
                    </w:rPr>
                    <w:t xml:space="preserve">Other financial services activities</w:t>
                  </w:r>
                </w:p>
                <w:p>
                  <w:pPr>
                    <w:pStyle w:val="BodyText"/>
                  </w:pPr>
                  <w:pPr>
                    <w:jc w:val="both"/>
                  </w:pPr>
                  <w:r>
                    <w:t xml:space="preserve">The documents, time periods and process for obtaining authorization in the field of financial activity depend on the type of financial institution (insurance company, custodian, pension fund, etc.). Ukrainian legislation provides for different requirements and procedures for each type of financial institution.</w:t>
                  </w:r>
                </w:p>
                <w:p>
                  <w:pPr>
                    <w:pStyle w:val="BodyText"/>
                  </w:pPr>
                  <w:r>
                    <w:rPr>
                      <w:b/>
                    </w:rPr>
                    <w:t xml:space="preserve">Fintechs and "sandboxes" for technologically innovative new services</w:t>
                  </w:r>
                </w:p>
                <w:p>
                  <w:pPr>
                    <w:pStyle w:val="BodyText"/>
                  </w:pPr>
                  <w:pPr>
                    <w:jc w:val="both"/>
                  </w:pPr>
                  <w:r>
                    <w:t xml:space="preserve">On 1 August 2021 the new law on payment services entered into force. Very broadly, it aims to: (i) remove certain regulatory barriers to entry to the payments market; and (ii) implement certain EU laws applicable to payment services, such as Directive 2015/2366 (PSD2) and Directive 2009/110/EC (Second E-Money Directive).</w:t>
                  </w:r>
                </w:p>
                <w:p>
                  <w:pPr>
                    <w:pStyle w:val="BodyText"/>
                  </w:pPr>
                  <w:pPr>
                    <w:jc w:val="both"/>
                  </w:pPr>
                  <w:r>
                    <w:t xml:space="preserve">Very broadly, all payment market participants may be allocated into four separate groups. The biggest group is composed of banks (which may provide any payment service based on their banking license), and other financial institutions (e.g., insurance companies) entitled to provide money remittance and acquiring services subject to conditions envisaged under the general financial services legal framework. The second largest group comprises various financial infrastructure entities, such as payment and e-money institutions, postal operators, and providers of non-financial payment services. These also seem to exist in the Ukrainian market now, albeit sometimes under different names and with different capacities. The third group is composed of the regulator and competent authorities. The last group is composed of providers of limited payment services.</w:t>
                  </w:r>
                </w:p>
                <w:p>
                  <w:pPr>
                    <w:pStyle w:val="BodyText"/>
                  </w:pPr>
                  <w:pPr>
                    <w:ind w:left="0"/>
                  </w:pPr>
                  <w:r>
                    <w:t xml:space="preserve">Moreover, the draft law provides for the setting up of the regulatory sandbox to test products and services based on innovative technologies.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It is envisaged under the </w:t>
                  </w:r>
                  <w:hyperlink w:history="true" r:id="R3fd316932f204276">
                    <w:r>
                      <w:rPr>
                        <w:rStyle w:val="Hyperlink"/>
                      </w:rPr>
                      <w:t xml:space="preserve">EU-Ukraine Association Agreement</w:t>
                    </w:r>
                  </w:hyperlink>
                  <w:r>
                    <w:rPr>
                      <w:color w:val="000000"/>
                    </w:rPr>
                    <w:t xml:space="preserve"> that as soon as Ukraine implements a number of EU financial services acquis communautaire, it will become eligible for access to the EU internal market for financial services. In practice, this implies that both the EU and Ukraine may potentially achieve an "unprecedented level of integration" whereby both EU and Ukrainian financial institutions could "passport" their services into the Ukrainian and EU markets accordingly. This innovative market access regime is, however, subject to a very strict conditionality procedure. Given the current pace of European integration activities carried out by the Ukrainian government, this is not likely to happen in the near future. Reports prepared by the Ukrainian government provide a more detailed assessment of the </w:t>
                  </w:r>
                  <w:hyperlink w:history="true" r:id="R7cc695ef676d45ea">
                    <w:r>
                      <w:rPr>
                        <w:rStyle w:val="Hyperlink"/>
                      </w:rPr>
                      <w:t xml:space="preserve">European integration process</w:t>
                    </w:r>
                  </w:hyperlink>
                  <w:r>
                    <w:rPr>
                      <w:color w:val="000000"/>
                    </w:rPr>
                    <w:t xml:space="preserve">.</w:t>
                  </w:r>
                </w:p>
                <w:p>
                  <w:pPr>
                    <w:pStyle w:val="BodyText"/>
                  </w:pPr>
                  <w:r>
                    <w:rPr>
                      <w:color w:val="000000"/>
                    </w:rPr>
                    <w:t xml:space="preserve"> In addition, on 1 July 2020, the NBU introduced a kind of "passporting" regime for an operator of a foreign payment system: It effectively allows such a foreign operator to render money remittance services in Ukraine based on the respective license issued by the relevant competent authority abroad.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trade.ec.europa.eu/doclib/docs/2016/november/tradoc_155103.pdf" TargetMode="External" Id="R3fd316932f204276" /><Relationship Type="http://schemas.openxmlformats.org/officeDocument/2006/relationships/hyperlink" Target="https://eu-ua.org/en/association-implementation-reports" TargetMode="External" Id="R7cc695ef676d45ea" /><Relationship Type="http://schemas.openxmlformats.org/officeDocument/2006/relationships/image" Target="/media/image3.png" Id="R13b3684805e1497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