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Philippines</w:t>
      </w:r>
      <w:r w:rsidR="00480329"/>
    </w:p>
    <w:p w:rsidRPr="00BC7873" w:rsidR="00BC7873" w:rsidP="00D354EF" w:rsidRDefault="00051AB4" w14:paraId="2476CC56" w14:textId="2FB25FA9">
      <w:pPr>
        <w:pStyle w:val="Title"/>
      </w:pPr>
      <w:r w:rsidRPr="00BC7873">
        <w:t>Squeeze-out of Minority Shareholders after Completion of the Takeover</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7. Squeeze-out of Minority Shareholders after Completion of the Takeover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7.1 Squeeze-out</w:t>
              </w:r>
            </w:p>
            <w:p>
              <w:pPr>
                <w:pStyle w:val="BodyText"/>
              </w:pPr>
              <w:r>
                <w:t xml:space="preserve">There are no regulations under Philippine law allowing bidders to squeeze out minority shareholders such that the shareholders will be compelled to sell their shares to the bidder following a takeover. The same, however, may be provided for in the Articles of Incorporation of the target company.</w:t>
              </w:r>
            </w:p>
            <w:p>
              <w:pPr>
                <w:pStyle w:val="BodyText"/>
              </w:pPr>
              <w:r>
                <w:rPr>
                  <w:b/>
                </w:rPr>
                <w:t xml:space="preserve">7.2 Sell-out</w:t>
              </w:r>
            </w:p>
            <w:p>
              <w:pPr>
                <w:pStyle w:val="BodyText"/>
              </w:pPr>
              <w:r>
                <w:t xml:space="preserve">There are likewise no regulations under Philippine law allowing minority shareholders to sell-out their shares to a bidder following a takeover. In lieu of a sell-out, the Delisting Rules permit a bidder or selling shareholders seeking to delist the target company to show the PSE that following the acquisition of the tendered shares, such person or persons have obtained a total of at least 95% of the issued and outstanding listed securities of the applicant company.</w:t>
              </w:r>
            </w:p>
            <w:p>
              <w:pPr>
                <w:pStyle w:val="BodyText"/>
              </w:pPr>
              <w:r>
                <w:t xml:space="preserve">In addition to the foregoing, a reverse stock split is also commonly implemented whereby a company will increase the par value of its shares resulting in a "fractionalization" of the shares held by the shareholders under the previous par value, that is, the reduction of a shareholders' shareholding into less than one share in the company.</w:t>
              </w:r>
            </w:p>
            <w:p>
              <w:pPr>
                <w:pStyle w:val="BodyText"/>
              </w:pPr>
              <w:r>
                <w:rPr>
                  <w:b/>
                </w:rPr>
                <w:t xml:space="preserve">7.3 Restrictions to acquire securities after the takeover bid period</w:t>
              </w:r>
            </w:p>
            <w:p>
              <w:pPr>
                <w:pStyle w:val="BodyText"/>
              </w:pPr>
              <w:r>
                <w:t xml:space="preserve">There are no regulations under Philippine law restricting a bidder from acquiring securities after a takeover bid period.</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