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Ireland - Euronext Dublin</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Euronext Dublin has five markets:</w:t>
              </w:r>
            </w:p>
            <w:p>
              <w:pPr>
                <w:pStyle w:val="BodyText"/>
              </w:pPr>
              <w:pPr>
                <w:pStyle w:val="ListParagraph"/>
                <w:numPr>
                  <w:ilvl w:val="0"/>
                  <w:numId w:val="9"/>
                </w:numPr>
              </w:pPr>
              <w:r>
                <w:t xml:space="preserve">Euronext Dublin, an EU "regulated market" for more mature companies.</w:t>
              </w:r>
            </w:p>
            <w:p>
              <w:pPr>
                <w:pStyle w:val="BodyText"/>
              </w:pPr>
              <w:pPr>
                <w:pStyle w:val="ListParagraph"/>
                <w:numPr>
                  <w:ilvl w:val="0"/>
                  <w:numId w:val="9"/>
                </w:numPr>
              </w:pPr>
              <w:r>
                <w:t xml:space="preserve">The Euronext Growth market, an exchange regulated market for growing companies.</w:t>
              </w:r>
            </w:p>
            <w:p>
              <w:pPr>
                <w:pStyle w:val="BodyText"/>
              </w:pPr>
              <w:pPr>
                <w:pStyle w:val="ListParagraph"/>
                <w:numPr>
                  <w:ilvl w:val="0"/>
                  <w:numId w:val="9"/>
                </w:numPr>
              </w:pPr>
              <w:r>
                <w:t xml:space="preserve">The Global Exchange Market (GEM), an exchange regulated market and multilateral trading facility.</w:t>
              </w:r>
            </w:p>
            <w:p>
              <w:pPr>
                <w:pStyle w:val="BodyText"/>
              </w:pPr>
              <w:pPr>
                <w:pStyle w:val="ListParagraph"/>
                <w:numPr>
                  <w:ilvl w:val="0"/>
                  <w:numId w:val="9"/>
                </w:numPr>
              </w:pPr>
              <w:r>
                <w:t xml:space="preserve">Euronext Access Dublin, aimed at supporting the growth of Irish scale-ups and SMEs.</w:t>
              </w:r>
            </w:p>
            <w:p>
              <w:pPr>
                <w:pStyle w:val="BodyText"/>
              </w:pPr>
              <w:pPr>
                <w:pStyle w:val="ListParagraph"/>
                <w:numPr>
                  <w:ilvl w:val="0"/>
                  <w:numId w:val="9"/>
                </w:numPr>
              </w:pPr>
              <w:r>
                <w:t xml:space="preserve">The Atlantic Securities Market (ASM), a European market that offers a euro quotation on Euronext Dublin for companies listing or trading on US markets.</w:t>
              </w:r>
            </w:p>
            <w:p>
              <w:pPr>
                <w:pStyle w:val="BodyText"/>
              </w:pPr>
              <w:r>
                <w:t xml:space="preserve">This summary relates only to Euronext Dublin, which is Euronext Dublin's flagship market for larger, more established companies. Euronext Dublin was established in 1793 and is home to Ireland's largest and best known companies. The regulatory framework associated with listing on Euronext Dublin is balanced and comprises globally respected standards of regulation and corporate governance. As a result, a listing on Euronext Dublin demonstrates a commitment to high standards and provides companies with the means to access capital from the widest set of investors.</w:t>
              </w:r>
            </w:p>
            <w:p>
              <w:pPr>
                <w:pStyle w:val="BodyText"/>
              </w:pPr>
              <w:r>
                <w:t xml:space="preserve">Advantages for a company listing on Euronext Dublin include:</w:t>
              </w:r>
            </w:p>
            <w:p>
              <w:pPr>
                <w:pStyle w:val="BodyText"/>
              </w:pPr>
              <w:pPr>
                <w:pStyle w:val="ListParagraph"/>
                <w:numPr>
                  <w:ilvl w:val="0"/>
                  <w:numId w:val="10"/>
                </w:numPr>
              </w:pPr>
              <w:r>
                <w:t xml:space="preserve">A respected and balanced regulatory environment that meets EU standards of compliance and disclosure as well as the corporate governance requirements of the UK Corporate Governance Code, which leads to greater levels of shareholder confidence.</w:t>
              </w:r>
            </w:p>
            <w:p>
              <w:pPr>
                <w:pStyle w:val="BodyText"/>
              </w:pPr>
              <w:pPr>
                <w:pStyle w:val="ListParagraph"/>
                <w:numPr>
                  <w:ilvl w:val="0"/>
                  <w:numId w:val="10"/>
                </w:numPr>
              </w:pPr>
              <w:r>
                <w:t xml:space="preserve">A euro quotation, which is attractive to Eurozone investors.</w:t>
              </w:r>
            </w:p>
            <w:p>
              <w:pPr>
                <w:pStyle w:val="BodyText"/>
              </w:pPr>
              <w:pPr>
                <w:pStyle w:val="ListParagraph"/>
                <w:numPr>
                  <w:ilvl w:val="0"/>
                  <w:numId w:val="10"/>
                </w:numPr>
              </w:pPr>
              <w:r>
                <w:t xml:space="preserve">Access to dual listing, enabling a flexible investor strategy.</w:t>
              </w:r>
            </w:p>
            <w:p>
              <w:pPr>
                <w:pStyle w:val="BodyText"/>
              </w:pPr>
              <w:pPr>
                <w:pStyle w:val="ListParagraph"/>
                <w:numPr>
                  <w:ilvl w:val="0"/>
                  <w:numId w:val="10"/>
                </w:numPr>
              </w:pPr>
              <w:r>
                <w:t xml:space="preserve">Access to a large pool of capital.</w:t>
              </w:r>
            </w:p>
            <w:p>
              <w:pPr>
                <w:pStyle w:val="BodyText"/>
              </w:pPr>
              <w:pPr>
                <w:pStyle w:val="ListParagraph"/>
                <w:numPr>
                  <w:ilvl w:val="0"/>
                  <w:numId w:val="10"/>
                </w:numPr>
              </w:pPr>
              <w:r>
                <w:t xml:space="preserve">The existence of a large and experienced community of advisers to help companies join Euronext Dublin and support them after listing.</w:t>
              </w:r>
            </w:p>
            <w:p>
              <w:pPr>
                <w:pStyle w:val="BodyText"/>
              </w:pPr>
              <w:pPr>
                <w:pStyle w:val="ListParagraph"/>
                <w:numPr>
                  <w:ilvl w:val="0"/>
                  <w:numId w:val="10"/>
                </w:numPr>
              </w:pPr>
              <w:r>
                <w:t xml:space="preserve">The associated visibility and profile raising with customers, suppliers, investors and other stakeholders.</w:t>
              </w:r>
            </w:p>
            <w:p>
              <w:pPr>
                <w:pStyle w:val="BodyText"/>
              </w:pPr>
              <w:r>
                <w:t xml:space="preserve">This summary relates to listings of equity shares only. Following a consultation, Euronext Dublin published updated listing rules for its regulated market which came into effect on 1 January 2025.  Euronext Dublin confirmed the primary objective was to streamline and harmonize its rules with other Euronext markets, against the backdrop of the similar UK listing review. The result is a more simplified set of listing rules and increased flexibility for equity issuers.  The previous distinction between primary and secondary listing rules was removed, so that the listing rules now apply equally to all issuers.</w:t>
              </w:r>
            </w:p>
            <w:p>
              <w:pPr>
                <w:pStyle w:val="BodyText"/>
              </w:pPr>
              <w:r>
                <w:t xml:space="preserve">Euronext Dublin is Euronext Dublin's principal market for listed companies from Ireland and abroad. Companies from all industry sectors and in a variety of sizes have listed on it.</w:t>
              </w:r>
            </w:p>
            <w:p>
              <w:pPr>
                <w:pStyle w:val="BodyText"/>
              </w:pPr>
              <w:r>
                <w:t xml:space="preserve">As of 1 February 2026, there were 15 companies listed on Euronext Dublin.</w:t>
              </w:r>
            </w:p>
            <w:p>
              <w:pPr>
                <w:pStyle w:val="BodyText"/>
              </w:pPr>
              <w:r>
                <w:t xml:space="preserve">Euronext Dublin is the relevant regulatory authority for a listing on Euronext Dublin, with the Central Bank of Ireland (CBI) acting as the competent authority for the approval of prospectuses.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