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Ireland - Euronext Dublin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rPr>
              <w:i/>
            </w:rPr>
            <w:t xml:space="preserve">The information in this document was prepared by Arthur Cox. It is intended for general information and not as legal advice for any specific purpose. It is not intended to be a substitute for reference to (and compliance with) the detailed provisions of applicable listing standards, laws, rules, regulations or forms. Similarly, it does not address any aspects of non-Irish law to which a company may be subject.</w:t>
          </w:r>
        </w:p>
        <w:p>
          <w:pPr>
            <w:pStyle w:val="BodyText"/>
          </w:pPr>
          <w:r>
            <w:rPr>
              <w:i/>
            </w:rPr>
            <w:t xml:space="preserve">On 4 December 2024, the new EU Listing Act (Regulation 2024/2809/EU, Directive 2024/2810/EU and Directive 2024/2811/EU</w:t>
          </w:r>
          <w:r>
            <w:rPr>
              <w:i/>
            </w:rPr>
            <w:t xml:space="preserve">, the "Listing Act") entered into force, which comprises significant amendments to the EU’s Prospectus Regulation (2017/1129/EU, the "Prospectus Regulation"), Market Abuse Regulation (596/2014/EU, the "MAR") and Markets in Financial Instruments Regulation (600/2014/EU, the "MiFIR") and Directive (2014/65/EU, the "MiFID II"). The amendments will be implemented in three phases: on 4 December 2024, 5 March 2026 and 5 June 2026.</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For all companies seeking a listing the expected aggregate market value of all securities (excluding treasury shares) to be listed must be at least €1 million (approximately US$1.17 million) for shares to be eligible for listing.</w:t>
                  </w:r>
                </w:p>
                <w:p>
                  <w:pPr>
                    <w:pStyle w:val="BodyText"/>
                  </w:pPr>
                  <w:r>
                    <w:t xml:space="preserve">Euronext Dublin (previously the MSM) no longer distinguishes between primary and secondary listings: the Listing Rules apply equally to all issuers.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pPr>
                    <w:ind w:left="0" w:right="0"/>
                    <w:spacing w:before="119" w:after="119"/>
                  </w:pPr>
                  <w:r>
                    <w:rPr>
                      <w:i/>
                    </w:rPr>
                    <w:t xml:space="preserve">Share price. </w:t>
                  </w:r>
                  <w:r>
                    <w:t xml:space="preserve">There is no minimum closing or offering price for shares to be listed.</w:t>
                  </w:r>
                </w:p>
                <w:p>
                  <w:pPr>
                    <w:pStyle w:val="BodyText"/>
                  </w:pPr>
                  <w:r>
                    <w:rPr>
                      <w:i/>
                    </w:rPr>
                    <w:t xml:space="preserve"> </w:t>
                  </w:r>
                  <w:r>
                    <w:rPr>
                      <w:i/>
                    </w:rPr>
                    <w:t xml:space="preserve">Distribution. </w:t>
                  </w:r>
                  <w:r>
                    <w:t xml:space="preserve">To list its securities, a company must have a minimum of 25% (subject to limited derogations) of the class of shares to be listed distributed to the public.</w:t>
                  </w:r>
                </w:p>
                <w:p>
                  <w:pPr>
                    <w:pStyle w:val="BodyText"/>
                  </w:pPr>
                  <w:r>
                    <w:rPr>
                      <w:i/>
                    </w:rPr>
                    <w:t xml:space="preserve">Accounting standards</w:t>
                  </w:r>
                  <w:r>
                    <w:t xml:space="preserve">. For a company incorporated in a EEA member state, the accounts should generally be prepared under IFRS. For an issuer incorporated outside the EEA, the accounts should be prepared either under IFRS, or under US, Japanese, Chinese, Canadian or South Korean GAAP or, for financial periods starting before 1 April 2016, Indian GAAP.</w:t>
                  </w:r>
                </w:p>
                <w:p>
                  <w:pPr>
                    <w:pStyle w:val="BodyText"/>
                  </w:pPr>
                  <w:r>
                    <w:rPr>
                      <w:i/>
                    </w:rPr>
                    <w:t xml:space="preserve">Financial statements</w:t>
                  </w:r>
                  <w:r>
                    <w:t xml:space="preserve">. The prospectus must generally include audited historical financial information for the last three financial years, and any quarterly or half-yearly financial information published since the date of the last audited financial statements. In addition, the audit reports for all relevant periods must be included in full</w:t>
                  </w:r>
                  <w:r>
                    <w:rPr>
                      <w:i/>
                    </w:rPr>
                    <w:t xml:space="preserve">.</w:t>
                  </w:r>
                </w:p>
                <w:p>
                  <w:pPr>
                    <w:pStyle w:val="BodyText"/>
                  </w:pPr>
                  <w:r>
                    <w:rPr>
                      <w:i/>
                      <w:color w:val="000000"/>
                    </w:rPr>
                    <w:t xml:space="preserve">Operating history</w:t>
                  </w:r>
                  <w:r>
                    <w:rPr>
                      <w:color w:val="000000"/>
                    </w:rPr>
                    <w:t xml:space="preserve">. An operating history of three years is generally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Listing involves the Central Bank of Ireland (CBI) reviewing the prospectus and Euronext Dublin admitting the shares to trading. The following is a fairly typical process and timetable for a listing of a foreign issuer on Euronext Dublin.</w:t>
                  </w:r>
                </w:p>
                <w:p>
                  <w:pPr>
                    <w:pStyle w:val="BodyText"/>
                  </w:pPr>
                  <w:hyperlink w:history="true" r:id="R8ed7446b861c4b06">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An Irish company must state in its annual report whether or not it has complied with the Irish Corporate Governance Code and if it has not complied with it, it must provide details of the provisions which were not complied with and its reasons for non-compliance.  This consists of principles of good governance, dealing with the following areas:</w:t>
                  </w:r>
                </w:p>
                <w:p>
                  <w:pPr>
                    <w:pStyle w:val="BodyText"/>
                  </w:pPr>
                  <w:pPr>
                    <w:pStyle w:val="ListParagraph"/>
                    <w:numPr>
                      <w:ilvl w:val="0"/>
                      <w:numId w:val="22"/>
                    </w:numPr>
                  </w:pPr>
                  <w:r>
                    <w:t xml:space="preserve">Board Leadership and Company Purpose.</w:t>
                  </w:r>
                </w:p>
                <w:p>
                  <w:pPr>
                    <w:pStyle w:val="BodyText"/>
                  </w:pPr>
                  <w:pPr>
                    <w:pStyle w:val="ListParagraph"/>
                    <w:numPr>
                      <w:ilvl w:val="0"/>
                      <w:numId w:val="22"/>
                    </w:numPr>
                  </w:pPr>
                  <w:r>
                    <w:t xml:space="preserve">Division of Responsibilities.</w:t>
                  </w:r>
                </w:p>
                <w:p>
                  <w:pPr>
                    <w:pStyle w:val="BodyText"/>
                  </w:pPr>
                  <w:pPr>
                    <w:pStyle w:val="ListParagraph"/>
                    <w:numPr>
                      <w:ilvl w:val="0"/>
                      <w:numId w:val="22"/>
                    </w:numPr>
                  </w:pPr>
                  <w:r>
                    <w:t xml:space="preserve">Composition, Succession and Evaluation.</w:t>
                  </w:r>
                </w:p>
                <w:p>
                  <w:pPr>
                    <w:pStyle w:val="BodyText"/>
                  </w:pPr>
                  <w:pPr>
                    <w:pStyle w:val="ListParagraph"/>
                    <w:numPr>
                      <w:ilvl w:val="0"/>
                      <w:numId w:val="22"/>
                    </w:numPr>
                  </w:pPr>
                  <w:r>
                    <w:t xml:space="preserve">Audit, Risk and Internal Control.</w:t>
                  </w:r>
                </w:p>
                <w:p>
                  <w:pPr>
                    <w:pStyle w:val="BodyText"/>
                  </w:pPr>
                  <w:pPr>
                    <w:pStyle w:val="ListParagraph"/>
                    <w:numPr>
                      <w:ilvl w:val="0"/>
                      <w:numId w:val="22"/>
                    </w:numPr>
                  </w:pPr>
                  <w:r>
                    <w:t xml:space="preserve">Remuneration.</w:t>
                  </w:r>
                </w:p>
                <w:p>
                  <w:pPr>
                    <w:pStyle w:val="BodyText"/>
                  </w:pPr>
                  <w:r>
                    <w:t xml:space="preserve">The Irish Corporate Governance Code also includes provisions relating to board and committee structure and the independence of directors.</w:t>
                  </w:r>
                </w:p>
                <w:p>
                  <w:pPr>
                    <w:pStyle w:val="BodyText"/>
                  </w:pPr>
                  <w:r>
                    <w:t xml:space="preserve">If the company is dual-listed in both Ireland and the UK, it has the option to either follow the Irish Corporate Governance Code or the UK Corporate Governance Code.</w:t>
                  </w:r>
                </w:p>
                <w:p>
                  <w:pPr>
                    <w:pStyle w:val="BodyText"/>
                  </w:pPr>
                  <w:r>
                    <w:t xml:space="preserve">A foreign company must disclose in its annual report the corporate governance code to which it is subject or which it has voluntarily decided to apply, where that code is publicly available, and where it departs from the corporate governance code, explain which parts of the corporate governance code it departs from and the reasons for doing so.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must pay both initial listing fees and annual fees to Euronext Dublin, calculated according to market capitalization. Initial fees for a company with a market capitalization of €100 million (approx. US$117.45 million) would be approximately €145,000 (approx. US$170,308). Advanced payment fees are payable and are deducted from the initial fees if the admission takes place.  A Euronext Additional Listing is free of charge, but fees may be payable in connection with other corporate events. The annual fees for a company with a market capitalization of €100 million (approx. US$117.45 million) would be approximately €20,000 (approx. US$23,491). The company will also incur printing costs for the production of the prospectus and costs for legal and accounting advice, sponsors and other service providers.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Euronext Dublin has five markets:</w:t>
                  </w:r>
                </w:p>
                <w:p>
                  <w:pPr>
                    <w:pStyle w:val="BodyText"/>
                  </w:pPr>
                  <w:pPr>
                    <w:pStyle w:val="ListParagraph"/>
                    <w:numPr>
                      <w:ilvl w:val="0"/>
                      <w:numId w:val="20"/>
                    </w:numPr>
                  </w:pPr>
                  <w:r>
                    <w:t xml:space="preserve">Euronext Dublin, an EU "regulated market" for more mature companies.</w:t>
                  </w:r>
                </w:p>
                <w:p>
                  <w:pPr>
                    <w:pStyle w:val="BodyText"/>
                  </w:pPr>
                  <w:pPr>
                    <w:pStyle w:val="ListParagraph"/>
                    <w:numPr>
                      <w:ilvl w:val="0"/>
                      <w:numId w:val="20"/>
                    </w:numPr>
                  </w:pPr>
                  <w:r>
                    <w:t xml:space="preserve">The Euronext Growth market, an exchange regulated market for growing companies.</w:t>
                  </w:r>
                </w:p>
                <w:p>
                  <w:pPr>
                    <w:pStyle w:val="BodyText"/>
                  </w:pPr>
                  <w:pPr>
                    <w:pStyle w:val="ListParagraph"/>
                    <w:numPr>
                      <w:ilvl w:val="0"/>
                      <w:numId w:val="20"/>
                    </w:numPr>
                  </w:pPr>
                  <w:r>
                    <w:t xml:space="preserve">The Global Exchange Market (GEM), an exchange regulated market and multilateral trading facility.</w:t>
                  </w:r>
                </w:p>
                <w:p>
                  <w:pPr>
                    <w:pStyle w:val="BodyText"/>
                  </w:pPr>
                  <w:pPr>
                    <w:pStyle w:val="ListParagraph"/>
                    <w:numPr>
                      <w:ilvl w:val="0"/>
                      <w:numId w:val="20"/>
                    </w:numPr>
                  </w:pPr>
                  <w:r>
                    <w:t xml:space="preserve">Euronext Access Dublin, aimed at supporting the growth of Irish scale-ups and SMEs.</w:t>
                  </w:r>
                </w:p>
                <w:p>
                  <w:pPr>
                    <w:pStyle w:val="BodyText"/>
                  </w:pPr>
                  <w:pPr>
                    <w:pStyle w:val="ListParagraph"/>
                    <w:numPr>
                      <w:ilvl w:val="0"/>
                      <w:numId w:val="20"/>
                    </w:numPr>
                  </w:pPr>
                  <w:r>
                    <w:t xml:space="preserve">The Atlantic Securities Market (ASM), a European market that offers a euro quotation on Euronext Dublin for companies listing or trading on US markets.</w:t>
                  </w:r>
                </w:p>
                <w:p>
                  <w:pPr>
                    <w:pStyle w:val="BodyText"/>
                  </w:pPr>
                  <w:r>
                    <w:t xml:space="preserve">This summary relates only to Euronext Dublin, which is Euronext Dublin's flagship market for larger, more established companies. Euronext Dublin was established in 1793 and is home to Ireland's largest and best known companies. The regulatory framework associated with listing on Euronext Dublin is balanced and comprises globally respected standards of regulation and corporate governance. As a result, a listing on Euronext Dublin demonstrates a commitment to high standards and provides companies with the means to access capital from the widest set of investors.</w:t>
                  </w:r>
                </w:p>
                <w:p>
                  <w:pPr>
                    <w:pStyle w:val="BodyText"/>
                  </w:pPr>
                  <w:r>
                    <w:t xml:space="preserve">Advantages for a company listing on Euronext Dublin include:</w:t>
                  </w:r>
                </w:p>
                <w:p>
                  <w:pPr>
                    <w:pStyle w:val="BodyText"/>
                  </w:pPr>
                  <w:pPr>
                    <w:pStyle w:val="ListParagraph"/>
                    <w:numPr>
                      <w:ilvl w:val="0"/>
                      <w:numId w:val="21"/>
                    </w:numPr>
                  </w:pPr>
                  <w:r>
                    <w:t xml:space="preserve">A respected and balanced regulatory environment that meets EU standards of compliance and disclosure as well as the corporate governance requirements of the UK Corporate Governance Code, which leads to greater levels of shareholder confidence.</w:t>
                  </w:r>
                </w:p>
                <w:p>
                  <w:pPr>
                    <w:pStyle w:val="BodyText"/>
                  </w:pPr>
                  <w:pPr>
                    <w:pStyle w:val="ListParagraph"/>
                    <w:numPr>
                      <w:ilvl w:val="0"/>
                      <w:numId w:val="21"/>
                    </w:numPr>
                  </w:pPr>
                  <w:r>
                    <w:t xml:space="preserve">A euro quotation, which is attractive to Eurozone investors.</w:t>
                  </w:r>
                </w:p>
                <w:p>
                  <w:pPr>
                    <w:pStyle w:val="BodyText"/>
                  </w:pPr>
                  <w:pPr>
                    <w:pStyle w:val="ListParagraph"/>
                    <w:numPr>
                      <w:ilvl w:val="0"/>
                      <w:numId w:val="21"/>
                    </w:numPr>
                  </w:pPr>
                  <w:r>
                    <w:t xml:space="preserve">Access to dual listing, enabling a flexible investor strategy.</w:t>
                  </w:r>
                </w:p>
                <w:p>
                  <w:pPr>
                    <w:pStyle w:val="BodyText"/>
                  </w:pPr>
                  <w:pPr>
                    <w:pStyle w:val="ListParagraph"/>
                    <w:numPr>
                      <w:ilvl w:val="0"/>
                      <w:numId w:val="21"/>
                    </w:numPr>
                  </w:pPr>
                  <w:r>
                    <w:t xml:space="preserve">Access to a large pool of capital.</w:t>
                  </w:r>
                </w:p>
                <w:p>
                  <w:pPr>
                    <w:pStyle w:val="BodyText"/>
                  </w:pPr>
                  <w:pPr>
                    <w:pStyle w:val="ListParagraph"/>
                    <w:numPr>
                      <w:ilvl w:val="0"/>
                      <w:numId w:val="21"/>
                    </w:numPr>
                  </w:pPr>
                  <w:r>
                    <w:t xml:space="preserve">The existence of a large and experienced community of advisers to help companies join Euronext Dublin and support them after listing.</w:t>
                  </w:r>
                </w:p>
                <w:p>
                  <w:pPr>
                    <w:pStyle w:val="BodyText"/>
                  </w:pPr>
                  <w:pPr>
                    <w:pStyle w:val="ListParagraph"/>
                    <w:numPr>
                      <w:ilvl w:val="0"/>
                      <w:numId w:val="21"/>
                    </w:numPr>
                  </w:pPr>
                  <w:r>
                    <w:t xml:space="preserve">The associated visibility and profile raising with customers, suppliers, investors and other stakeholders.</w:t>
                  </w:r>
                </w:p>
                <w:p>
                  <w:pPr>
                    <w:pStyle w:val="BodyText"/>
                  </w:pPr>
                  <w:r>
                    <w:t xml:space="preserve">This summary relates to listings of equity shares only. Following a consultation, Euronext Dublin published updated listing rules for its regulated market which came into effect on 1 January 2025.  Euronext Dublin confirmed the primary objective was to streamline and harmonize its rules with other Euronext markets, against the backdrop of the similar UK listing review. The result is a more simplified set of listing rules and increased flexibility for equity issuers.  The previous distinction between primary and secondary listing rules was removed, so that the listing rules now apply equally to all issuers.</w:t>
                  </w:r>
                </w:p>
                <w:p>
                  <w:pPr>
                    <w:pStyle w:val="BodyText"/>
                  </w:pPr>
                  <w:r>
                    <w:t xml:space="preserve">Euronext Dublin is Euronext Dublin's principal market for listed companies from Ireland and abroad. Companies from all industry sectors and in a variety of sizes have listed on it.</w:t>
                  </w:r>
                </w:p>
                <w:p>
                  <w:pPr>
                    <w:pStyle w:val="BodyText"/>
                  </w:pPr>
                  <w:r>
                    <w:t xml:space="preserve">As of 1 February 2026, there were 15 companies listed on Euronext Dublin.</w:t>
                  </w:r>
                </w:p>
                <w:p>
                  <w:pPr>
                    <w:pStyle w:val="BodyText"/>
                  </w:pPr>
                  <w:r>
                    <w:t xml:space="preserve">Euronext Dublin is the relevant regulatory authority for a listing on Euronext Dublin, with the Central Bank of Ireland (CBI) acting as the competent authority for the approval of prospectuses.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jurisdictions of incorporation or industries that would not be acceptable for a listed company. There is no difference in financial requirements between a foreign company and a domestic company with a primary listing.</w:t>
                  </w:r>
                </w:p>
                <w:p>
                  <w:pPr>
                    <w:pStyle w:val="BodyText"/>
                  </w:pPr>
                  <w:r>
                    <w:t xml:space="preserve">The expected aggregate market value of all securities (excluding treasury shares) to be listed must be at least €1 million (approximately US$1.17 million) for shares to be eligible for listing.</w:t>
                  </w:r>
                </w:p>
                <w:p>
                  <w:pPr>
                    <w:pStyle w:val="BodyText"/>
                  </w:pPr>
                  <w:r>
                    <w:t xml:space="preserve">Any company applying for a listing should have published or filed audited annual financial statements or pro forma accounts, consolidated where applicable, for the preceding three financial years, drawn up in accordance with the accounting standards of the country where the company has its registered office, IFRS or any other accounting standards allowed by Irish law.</w:t>
                  </w:r>
                </w:p>
                <w:p>
                  <w:pPr>
                    <w:pStyle w:val="BodyText"/>
                  </w:pPr>
                  <w:r>
                    <w:t xml:space="preserve">There are no specified ongoing financial maintenance requirements that a foreign company must meet after the initial listing.</w:t>
                  </w:r>
                </w:p>
                <w:p>
                  <w:pPr>
                    <w:pStyle w:val="BodyText"/>
                  </w:pPr>
                  <w:r>
                    <w:t xml:space="preserve">All companies must have a minimum of 25% (or such lower percentage agreed by Euronext Dublin, provided that the percentage shall not be lower than 5% of the subscribed capital and must represent a value of at least €5 million (approximately US$5.87 million)) of the class of shares to be listed distributed to the public. This is known as the minimum "free float" requirement.</w:t>
                  </w:r>
                </w:p>
                <w:p>
                  <w:pPr>
                    <w:pStyle w:val="BodyText"/>
                  </w:pPr>
                  <w:r>
                    <w:t xml:space="preserve">Companies must comply with the Irish Corporate Governance Code or, if they choose not to comply with one or more provisions of the Irish Corporate Governance Code, explain and justify why they do not comply in their annual report.  Irish companies that are dual-listed in Ireland and the UK can instead make these disclosures in relation to the UK Corporate Governance Code.  Foreign incorporated companies must describe the corporate governance code to which they are subject, and their compliance with that code.</w:t>
                  </w:r>
                </w:p>
                <w:p>
                  <w:pPr>
                    <w:pStyle w:val="BodyText"/>
                  </w:pPr>
                  <w:r>
                    <w:t xml:space="preserve">All companies applying for a listing must appoint a listing agent that has been approved by Euronext Dublin for the first admission to trading of equity securities and for any subsequent admission to trading requiring approval of a prospectus. Euronext Dublin maintains a list of these sponsors at Listing Agent | euronext.com. The listing agent assists with the admission application and is responsible for liaising with Euronext Dublin on the applicant company's behalf.</w:t>
                  </w:r>
                </w:p>
                <w:p>
                  <w:pPr>
                    <w:pStyle w:val="BodyText"/>
                  </w:pPr>
                  <w:r>
                    <w:t xml:space="preserve">There is no requirement for an applicant company to conduct interviews with Euronext Dublin as part of the listing process. There is no requirement for listed foreign companies to have or maintain a minimum number of security holders, although Euronext Dublin may cancel a company's listing should less than 25% (or any lower percentage agreed by Euronext Dublin) of the class of listed securities be in public hands according to the criteria described above. There is no requirement for listed foreign companies to have or maintain a minimum trading price for their securities, or for any shares to be placed into escrow (or otherwise be restrained from being traded, such as through lock-in or lock-up arrangements) in connection with the listing. However, on initial listing underwriters will typically require that the directors and major shareholders agree to a lock-in arrangement. Securities must be traded in a currency recognized by Euronext Dublin. There are no restrictions for securities to be settled within a particular clearing system or registered with a particular share transfer agent. However, adequate procedures must be available for the clearing and settlement of transactions in shares listed on Euronext Dublin, and Dublin listed shares are currently, normally settled in the central securities depositories system operated by Euroclear Bank.</w:t>
                  </w:r>
                </w:p>
                <w:p>
                  <w:pPr>
                    <w:pStyle w:val="BodyText"/>
                  </w:pPr>
                  <w:r>
                    <w:t xml:space="preserve">Further listing requirements are as follows:</w:t>
                  </w:r>
                </w:p>
                <w:p>
                  <w:pPr>
                    <w:pStyle w:val="BodyText"/>
                  </w:pPr>
                  <w:pPr>
                    <w:pStyle w:val="ListParagraph"/>
                    <w:numPr>
                      <w:ilvl w:val="0"/>
                      <w:numId w:val="19"/>
                    </w:numPr>
                  </w:pPr>
                  <w:r>
                    <w:t xml:space="preserve">An applicant company must be validly incorporated and its legal form, structure and business activities must be in accordance with its articles of association and applicable laws and regulations.</w:t>
                  </w:r>
                </w:p>
                <w:p>
                  <w:pPr>
                    <w:pStyle w:val="BodyText"/>
                  </w:pPr>
                  <w:pPr>
                    <w:pStyle w:val="ListParagraph"/>
                    <w:numPr>
                      <w:ilvl w:val="0"/>
                      <w:numId w:val="19"/>
                    </w:numPr>
                  </w:pPr>
                  <w:r>
                    <w:t xml:space="preserve">The securities must be validly issued in accordance with applicable laws and regulations governing those securities, the issuer's articles of association and other constitutional documents.</w:t>
                  </w:r>
                </w:p>
                <w:p>
                  <w:pPr>
                    <w:pStyle w:val="BodyText"/>
                  </w:pPr>
                  <w:pPr>
                    <w:pStyle w:val="ListParagraph"/>
                    <w:numPr>
                      <w:ilvl w:val="0"/>
                      <w:numId w:val="19"/>
                    </w:numPr>
                  </w:pPr>
                  <w:r>
                    <w:t xml:space="preserve">The securities to be listed must be capable of being traded in a fair, orderly and efficient manner and, in the case of transferable securities, must be freely negotiable.</w:t>
                  </w:r>
                </w:p>
                <w:p>
                  <w:pPr>
                    <w:pStyle w:val="BodyText"/>
                  </w:pPr>
                  <w:pPr>
                    <w:pStyle w:val="ListParagraph"/>
                    <w:numPr>
                      <w:ilvl w:val="0"/>
                      <w:numId w:val="19"/>
                    </w:numPr>
                  </w:pPr>
                  <w:r>
                    <w:t xml:space="preserve">Any shares to be listed must be fully paid.</w:t>
                  </w:r>
                </w:p>
                <w:p>
                  <w:pPr>
                    <w:pStyle w:val="BodyText"/>
                  </w:pPr>
                  <w:pPr>
                    <w:pStyle w:val="ListParagraph"/>
                    <w:numPr>
                      <w:ilvl w:val="0"/>
                      <w:numId w:val="19"/>
                    </w:numPr>
                  </w:pPr>
                  <w:r>
                    <w:t xml:space="preserve">An application for listing of securities must, if no securities of that class are already listed, relate to all securities of that class. If securities of that class are already listed, the application must relate to all further securities of that class, issued or proposed to be issued.</w:t>
                  </w:r>
                </w:p>
                <w:p>
                  <w:pPr>
                    <w:pStyle w:val="BodyText"/>
                  </w:pPr>
                  <w:pPr>
                    <w:pStyle w:val="ListParagraph"/>
                    <w:numPr>
                      <w:ilvl w:val="0"/>
                      <w:numId w:val="19"/>
                    </w:numPr>
                  </w:pPr>
                  <w:r>
                    <w:t xml:space="preserve">A prospectus will be required (unless an exemption applies).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Unless an exemption from the requirement to prepare a prospectus applies, the applicant company will need to prepare a prospectus to send to investors. The CBI will review a number of versions of the draft prospectus and provide detailed comments and raise points for clarification by the applicant company's advisers. Euronext Dublin will also need to receive an application for the admission of the securities to be included on Euronext Dublin, the final CBI-approved prospectus, and written confirmation of the number of shares to be allotted.</w:t>
                  </w:r>
                </w:p>
                <w:p>
                  <w:pPr>
                    <w:pStyle w:val="BodyText"/>
                  </w:pPr>
                  <w:r>
                    <w:t xml:space="preserve">The prospectus must include the information prescribed by the Irish prospectus regulations (European Union (Prospectus) Regulations 2019, as amended), and it must also contain all of the information necessary to enable investors to make an informed assessment of the assets and liabilities, financial position, profits and losses, and prospects of the issuer of the shares and of any guarantor and of the rights attaching to the shares. This reflects Ireland's implementation of the Prospectus Regulation (Regulation (EU) 2017/1129, as amended).</w:t>
                  </w:r>
                </w:p>
                <w:p>
                  <w:pPr>
                    <w:pStyle w:val="BodyText"/>
                  </w:pPr>
                  <w:r>
                    <w:t xml:space="preserve">In particular, the prospectus must include a summary section including certain key items of information (or, where that information is not available, indicate as not applicable). The prospectus summary must be drawn up as a short document written in a concise manner and of a maximum length of seven sides of A4-sized paper when printed. The prospectus must also include disclosure relating to the following topics: details of the persons responsible for the prospectus; details of the auditors; selected financial information; risk factors relating to the company and its industry; general information about the company; a description of the company's operations, principal activities, significant new products and services and principal markets; organizational structure; a description in narrative form of the company's financial condition, changes in financial condition and results of the operations for the periods covered by the financial statements and any significant factors affecting its operating results; the company's long-term and short-term capital resources; the company's research and development policies; the most significant trends in the company's production, sales and inventory, and costs and selling prices; details of the company's management; corporate governance; number of employees and their share options; major shareholders; recent related party transactions; dividend policy; legal and arbitration proceedings; if profit forecasts are included in the prospectus, the principal assumptions upon which the profit forecasts are based; details of the company's share capital, objects, articles of association or charter, rights attaching to shares, procedure for conducting general meetings of shareholders and other related information; and a summary of material contracts.</w:t>
                  </w:r>
                </w:p>
                <w:p>
                  <w:pPr>
                    <w:pStyle w:val="BodyText"/>
                  </w:pPr>
                  <w:r>
                    <w:t xml:space="preserve">In addition, with respect to financial information, the prospectus should also include audited historical financial information for the latest three financial years together with the audit report for each year. For an issuer incorporated in an EEA member state, the accounts should generally be prepared under IFRS. For an issuer incorporated outside the EEA, the accounts should be prepared either under IFRS or under US, Japanese, Chinese, Canadian or South Korean GAAP (which have been deemed equivalent to IFRS by the European Commission) or, for financial periods starting before 1 April 2016, Indian GAAP (Indian GAAP is currently being converged with IFRS). Any quarterly or half-yearly financial information that the company has published since the date of the last audited financial statements must also be included together with any audit or review report with respect thereto. If there has been a significant change in the company's position during the period covered by the historical financial information, such as a significant acquisition or merger, it is necessary to include pro-forma financial information to reflect how the transaction would have affected its assets and liabilities and earnings if it had occurred at the beginning of the period covered by the report. The prospectus must also replicate the audit reports for each relevant period including any refusals, qualifications or disclaimers and the reasons for the same. If any financial data included in the prospectus is not extracted from the company's audited financial information, its source must be disclosed. Any significant post-balance sheet change in the financial or trading position of the group must also be described.</w:t>
                  </w:r>
                </w:p>
                <w:p>
                  <w:pPr>
                    <w:pStyle w:val="BodyText"/>
                  </w:pPr>
                  <w:r>
                    <w:t xml:space="preserve">Where the offer includes a US tranche, the prospectus needs to conform to the US disclosure standards applicable (these will differ depending on how the offer is made in the US). US disclosure standards are beyond the scope of this note, but these standards may require the inclusion of a detailed explanation and analysis of the company's financial results including key factors impacting its financial performance and comparison of its results on a year-by-year basis. The operating and financial review section (described above) will generally satisfy this requirement. In addition, it will usually be necessary to include a discussion of relevant US tax issues, restrictions on transferring the shares and certain legends required by US federal and state securities laws.</w:t>
                  </w:r>
                </w:p>
                <w:p>
                  <w:pPr>
                    <w:pStyle w:val="BodyText"/>
                  </w:pPr>
                  <w:r>
                    <w:t xml:space="preserve">The CBI must approve the prospectus. The advisers will submit a draft prospectus to the CBI, who will then comment on it. The advisers and the applicant company address these comments and submit subsequent drafts until all of the CBI's comments have been addressed, at which point the CBI will informally agree to approve the prospectus. The advisers will then arrange to finalize the prospectus for the CBI's formal approval. The CBI approval process generally takes approximately two to four months from commencement of drafting to approval. </w:t>
                  </w:r>
                </w:p>
                <w:p>
                  <w:pPr>
                    <w:pStyle w:val="BodyText"/>
                  </w:pPr>
                  <w:r>
                    <w:rPr>
                      <w:i/>
                    </w:rPr>
                    <w:t xml:space="preserve">Typical process and timetable for a listing of a foreign company on Euronext Dublin of Euronext Dublin</w:t>
                  </w:r>
                </w:p>
                <w:p>
                  <w:pPr>
                    <w:pStyle w:val="BodyText"/>
                  </w:pPr>
                  <w:hyperlink w:history="true" r:id="Rdccc6f22218d48fa">
                    <w:r>
                      <w:rPr>
                        <w:rStyle w:val="Hyperlink"/>
                      </w:rPr>
                      <w:t xml:space="preserve">Link to Chart</w:t>
                    </w:r>
                  </w:hyperlink>
                </w:p>
                <w:p>
                  <w:pPr>
                    <w:pStyle w:val="BodyText"/>
                  </w:pPr>
                  <w:r>
                    <w:t xml:space="preserve">The documentation and process requirements described in this section do not vary from what would be expected of a domestic company, although note the requirements for financial information described above in relation to relevant accounting principles.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Under the Listing Rules, a company must appoint a listing agent (previously a sponsor) for the first admission to trading of equity securities and for any subsequent admission to trading requiring approval of a prospectus.</w:t>
                  </w:r>
                </w:p>
                <w:p>
                  <w:pPr>
                    <w:pStyle w:val="BodyText"/>
                  </w:pPr>
                  <w:r>
                    <w:t xml:space="preserve">Unlike the UK Listing Rules, the Listing Rules do not impose any particular obligations on a listing agent on a continuous basis and do not require the listing agent to actively supervise an issuer, but a sponsor will generally only act where it can be sure the issuer will comply with the Listing Rules because of reputational risk. Notice No. 6-01 Euronext Policy with respect to Listing Agents governs the tasks and responsibilities of a listing agent and provides that these include</w:t>
                  </w:r>
                  <w:r>
                    <w:t xml:space="preserve">:</w:t>
                  </w:r>
                </w:p>
                <w:p>
                  <w:pPr>
                    <w:pStyle w:val="BodyText"/>
                  </w:pPr>
                  <w:pPr>
                    <w:pStyle w:val="ListParagraph"/>
                    <w:numPr>
                      <w:ilvl w:val="0"/>
                      <w:numId w:val="12"/>
                    </w:numPr>
                  </w:pPr>
                  <w:r>
                    <w:t xml:space="preserve">Assisting the issue</w:t>
                  </w:r>
                  <w:r>
                    <w:t xml:space="preserve">r with the application for admission of the relevant securities.</w:t>
                  </w:r>
                </w:p>
                <w:p>
                  <w:pPr>
                    <w:pStyle w:val="BodyText"/>
                  </w:pPr>
                  <w:pPr>
                    <w:pStyle w:val="ListParagraph"/>
                    <w:numPr>
                      <w:ilvl w:val="0"/>
                      <w:numId w:val="12"/>
                    </w:numPr>
                  </w:pPr>
                  <w:r>
                    <w:t xml:space="preserve">Acting on behalf of the issuer with the admission process;</w:t>
                  </w:r>
                </w:p>
                <w:p>
                  <w:pPr>
                    <w:pStyle w:val="BodyText"/>
                  </w:pPr>
                  <w:pPr>
                    <w:pStyle w:val="ListParagraph"/>
                    <w:numPr>
                      <w:ilvl w:val="0"/>
                      <w:numId w:val="12"/>
                    </w:numPr>
                  </w:pPr>
                  <w:r>
                    <w:t xml:space="preserve">Ensuring that the documentation to be provided to Euronext Dublin in connection with admission is complete and accurate.</w:t>
                  </w:r>
                </w:p>
                <w:p>
                  <w:pPr>
                    <w:pStyle w:val="BodyText"/>
                  </w:pPr>
                  <w:pPr>
                    <w:pStyle w:val="ListParagraph"/>
                    <w:numPr>
                      <w:ilvl w:val="0"/>
                      <w:numId w:val="12"/>
                    </w:numPr>
                  </w:pPr>
                  <w:r>
                    <w:t xml:space="preserve">Acting as primary contact and liaison for Euronext Dublin in relation to admission of the relevant securities.</w:t>
                  </w:r>
                </w:p>
                <w:p>
                  <w:pPr>
                    <w:pStyle w:val="BodyText"/>
                  </w:pPr>
                  <w:pPr>
                    <w:pStyle w:val="ListParagraph"/>
                    <w:numPr>
                      <w:ilvl w:val="0"/>
                      <w:numId w:val="12"/>
                    </w:numPr>
                  </w:pPr>
                  <w:r>
                    <w:t xml:space="preserve">Ensuring that ad</w:t>
                  </w:r>
                  <w:r>
                    <w:t xml:space="preserve">equate procedures are in place for the clearing and settlement of the relevant securities.</w:t>
                  </w:r>
                </w:p>
                <w:p>
                  <w:pPr>
                    <w:pStyle w:val="BodyText"/>
                  </w:pPr>
                  <w:r>
                    <w:rPr>
                      <w:i/>
                    </w:rPr>
                    <w:t xml:space="preserve">Inside Information</w:t>
                  </w:r>
                </w:p>
                <w:p>
                  <w:pPr>
                    <w:pStyle w:val="BodyText"/>
                  </w:pPr>
                  <w:r>
                    <w:t xml:space="preserve">Once listed, an issuer will be subject to a continuous disclosure requirement designed to prevent the creation of a false market in the company's securities under the Market Abuse Regulation (EU) No. 596/2014 (MAR) and the Market Abuse Directive 2014/57/EU. The company will be required to publicly disclose any inside information that concerns the company.</w:t>
                  </w:r>
                </w:p>
                <w:p>
                  <w:pPr>
                    <w:pStyle w:val="BodyText"/>
                  </w:pPr>
                  <w:r>
                    <w:t xml:space="preserve">Broadly, inside information is information which:</w:t>
                  </w:r>
                </w:p>
                <w:p>
                  <w:pPr>
                    <w:pStyle w:val="BodyText"/>
                  </w:pPr>
                  <w:pPr>
                    <w:pStyle w:val="ListParagraph"/>
                    <w:numPr>
                      <w:ilvl w:val="0"/>
                      <w:numId w:val="13"/>
                    </w:numPr>
                  </w:pPr>
                  <w:r>
                    <w:t xml:space="preserve">Is of a precise nature (that is, it deals with circumstances which exist or may reasonably be expected to come into existence and is specific enough to make conclusions as to the possible effect on price).</w:t>
                  </w:r>
                </w:p>
                <w:p>
                  <w:pPr>
                    <w:pStyle w:val="BodyText"/>
                  </w:pPr>
                  <w:pPr>
                    <w:pStyle w:val="ListParagraph"/>
                    <w:numPr>
                      <w:ilvl w:val="0"/>
                      <w:numId w:val="13"/>
                    </w:numPr>
                  </w:pPr>
                  <w:r>
                    <w:t xml:space="preserve">Is not publicly available.</w:t>
                  </w:r>
                </w:p>
                <w:p>
                  <w:pPr>
                    <w:pStyle w:val="BodyText"/>
                  </w:pPr>
                  <w:pPr>
                    <w:pStyle w:val="ListParagraph"/>
                    <w:numPr>
                      <w:ilvl w:val="0"/>
                      <w:numId w:val="13"/>
                    </w:numPr>
                  </w:pPr>
                  <w:r>
                    <w:t xml:space="preserve">Is likely to have a significant effect on price.</w:t>
                  </w:r>
                </w:p>
                <w:p>
                  <w:pPr>
                    <w:pStyle w:val="BodyText"/>
                  </w:pPr>
                  <w:r>
                    <w:t xml:space="preserve">In determining the likely price significance of information, a company should assess whether the information in question would be likely to be used by a reasonable investor as part of the basis of their investment decisions.</w:t>
                  </w:r>
                </w:p>
                <w:p>
                  <w:pPr>
                    <w:pStyle w:val="BodyText"/>
                  </w:pPr>
                  <w:r>
                    <w:t xml:space="preserve">Inside information should be disclosed through a Regulatory Information Service and the company must make the information available on its internet site and keep it there for a period of five years.</w:t>
                  </w:r>
                </w:p>
                <w:p>
                  <w:pPr>
                    <w:pStyle w:val="BodyText"/>
                  </w:pPr>
                  <w:r>
                    <w:t xml:space="preserve">A company whose financial instruments are also listed or admitted to trading on any foreign stock exchange or regulated market must take reasonable care to ensure that the disclosure of inside information is synchronized as closely as possible in each jurisdiction.</w:t>
                  </w:r>
                </w:p>
                <w:p>
                  <w:pPr>
                    <w:pStyle w:val="BodyText"/>
                  </w:pPr>
                  <w:r>
                    <w:t xml:space="preserve">A company may delay the disclosure of inside information where: (i) the issuer considers that public disclosure of inside information might prejudice the issuer's legitimate interests; (ii) to do so would not be likely to mislead the public; and (iii) the issuer is able to ensure the confidentiality of the information.</w:t>
                  </w:r>
                </w:p>
                <w:p>
                  <w:pPr>
                    <w:pStyle w:val="BodyText"/>
                  </w:pPr>
                  <w:r>
                    <w:t xml:space="preserve">Further amendments to MAR under the EU Listing Act No. 2024/2809 will apply from 5 June 2026, including in relation to “protracted processes” and the assessment of whether the company may delay the disclosure of inside information.</w:t>
                  </w:r>
                </w:p>
                <w:p>
                  <w:pPr>
                    <w:pStyle w:val="BodyText"/>
                  </w:pPr>
                  <w:r>
                    <w:rPr>
                      <w:i/>
                    </w:rPr>
                    <w:t xml:space="preserve">Other Disclosures</w:t>
                  </w:r>
                </w:p>
                <w:p>
                  <w:pPr>
                    <w:pStyle w:val="BodyText"/>
                  </w:pPr>
                  <w:r>
                    <w:t xml:space="preserve">In addition to the continuous disclosure regime there are a number of specific requirements that listed companies and certain other persons must comply with. These include:</w:t>
                  </w:r>
                </w:p>
                <w:p>
                  <w:pPr>
                    <w:pStyle w:val="BodyText"/>
                  </w:pPr>
                  <w:pPr>
                    <w:pStyle w:val="ListParagraph"/>
                    <w:numPr>
                      <w:ilvl w:val="0"/>
                      <w:numId w:val="14"/>
                    </w:numPr>
                  </w:pPr>
                  <w:r>
                    <w:t xml:space="preserve">A shareholder must notify the issuer when its percentage of voting rights in the issuer held reaches, exceeds or falls below 3% (and each 1% thereafter) as soon as possible (and not later than four trading days in the case of a non-Irish issuer and two trading days in the case of an Irish issuer) after learning of the relevant acquisition or disposal. The company must then publicly disclose this information as soon as possible and in any event by not later than the end of the third trading day following receipt of notification (in the case of a non-Irish issuer) and the trading day following receipt of the notification (in the case of an Irish issuer). </w:t>
                  </w:r>
                </w:p>
                <w:p>
                  <w:pPr>
                    <w:pStyle w:val="BodyText"/>
                  </w:pPr>
                  <w:pPr>
                    <w:pStyle w:val="ListParagraph"/>
                    <w:numPr>
                      <w:ilvl w:val="0"/>
                      <w:numId w:val="14"/>
                    </w:numPr>
                  </w:pPr>
                  <w:r>
                    <w:t xml:space="preserve">The company must disclose the total number of voting rights attaching to shares for each class admitted to trading at the end of every month in which there has been a change.</w:t>
                  </w:r>
                </w:p>
                <w:p>
                  <w:pPr>
                    <w:pStyle w:val="BodyText"/>
                  </w:pPr>
                  <w:pPr>
                    <w:pStyle w:val="ListParagraph"/>
                    <w:numPr>
                      <w:ilvl w:val="0"/>
                      <w:numId w:val="14"/>
                    </w:numPr>
                  </w:pPr>
                  <w:r>
                    <w:t xml:space="preserve">Persons discharging managerial responsibilities and persons closely associated with them must notify the company and the CBI promptly and no later than three business days after the date of the transaction of the occurrence of all transactions conducted on their own account in the shares of the company. The company must then disclose this information as soon as possible and in any event by no later than two business days after receipt of the notification.</w:t>
                  </w:r>
                </w:p>
                <w:p>
                  <w:pPr>
                    <w:pStyle w:val="BodyText"/>
                  </w:pPr>
                  <w:pPr>
                    <w:pStyle w:val="ListParagraph"/>
                    <w:numPr>
                      <w:ilvl w:val="0"/>
                      <w:numId w:val="14"/>
                    </w:numPr>
                  </w:pPr>
                  <w:r>
                    <w:t xml:space="preserve">The company must inform Euronext Dublin of certain corporate or securities events to facilitate the fair, orderly and efficient functioning of the market, including amendments affecting the rights of securities, mandatory reorganization and distributions.  Relevant information must be provided at least two trading days in advance.  Euronext Dublin is also the Officially Appointed Mechanism for the central storage of regulated information in Ireland for the purposes of transparency law. </w:t>
                  </w:r>
                </w:p>
                <w:p>
                  <w:pPr>
                    <w:pStyle w:val="BodyText"/>
                  </w:pPr>
                  <w:pPr>
                    <w:pStyle w:val="ListParagraph"/>
                    <w:numPr>
                      <w:ilvl w:val="0"/>
                      <w:numId w:val="14"/>
                    </w:numPr>
                  </w:pPr>
                  <w:r>
                    <w:t xml:space="preserve">A company must publish notices or distribute circulars concerning the allocation and payment of dividends.</w:t>
                  </w:r>
                </w:p>
                <w:p>
                  <w:pPr>
                    <w:pStyle w:val="BodyText"/>
                  </w:pPr>
                  <w:pPr>
                    <w:pStyle w:val="ListParagraph"/>
                    <w:numPr>
                      <w:ilvl w:val="0"/>
                      <w:numId w:val="14"/>
                    </w:numPr>
                  </w:pPr>
                  <w:r>
                    <w:t xml:space="preserve">Chapter 7 (the Listing Principles) has been deleted from the Euronext Dublin Rule Book II, but the company remains subject to various fairness-type rules designed to assist a listed company in identifying its obligations and responsibilities under Euronext Rule Book I: Harmonised Rules.  </w:t>
                  </w:r>
                </w:p>
                <w:p>
                  <w:pPr>
                    <w:pStyle w:val="BodyText"/>
                  </w:pPr>
                  <w:pPr>
                    <w:pStyle w:val="ListParagraph"/>
                    <w:numPr>
                      <w:ilvl w:val="0"/>
                      <w:numId w:val="14"/>
                    </w:numPr>
                  </w:pPr>
                  <w:r>
                    <w:t xml:space="preserve">A company is required to announce material related party transactions and to put those related party transactions to a vote of independent shareholders under the Second Shareholders’ Rights Directive as implemented in Ireland.</w:t>
                  </w:r>
                </w:p>
                <w:p>
                  <w:pPr>
                    <w:pStyle w:val="BodyText"/>
                  </w:pPr>
                  <w:pPr>
                    <w:pStyle w:val="ListParagraph"/>
                    <w:numPr>
                      <w:ilvl w:val="0"/>
                      <w:numId w:val="14"/>
                    </w:numPr>
                  </w:pPr>
                  <w:r>
                    <w:t xml:space="preserve">There are a number of disclosure requirements relating to Directors:</w:t>
                  </w:r>
                </w:p>
                <w:p>
                  <w:pPr>
                    <w:pStyle w:val="BodyText"/>
                  </w:pPr>
                  <w:pPr>
                    <w:pStyle w:val="ListParagraph"/>
                    <w:numPr>
                      <w:ilvl w:val="1"/>
                      <w:numId w:val="15"/>
                    </w:numPr>
                    <w:ind w:left="1560"/>
                  </w:pPr>
                  <w:r>
                    <w:t xml:space="preserve">A company must publicly disclose as soon as possible (and in any event within five business days of the decision) any change to the board including:</w:t>
                  </w:r>
                </w:p>
                <w:p>
                  <w:pPr>
                    <w:pStyle w:val="BodyText"/>
                  </w:pPr>
                  <w:pPr>
                    <w:pStyle w:val="ListParagraph"/>
                    <w:numPr>
                      <w:ilvl w:val="2"/>
                      <w:numId w:val="16"/>
                    </w:numPr>
                    <w:ind w:left="2340"/>
                  </w:pPr>
                  <w:r>
                    <w:t xml:space="preserve">The appointment of a new director.</w:t>
                  </w:r>
                </w:p>
                <w:p>
                  <w:pPr>
                    <w:pStyle w:val="BodyText"/>
                  </w:pPr>
                  <w:pPr>
                    <w:pStyle w:val="ListParagraph"/>
                    <w:numPr>
                      <w:ilvl w:val="2"/>
                      <w:numId w:val="16"/>
                    </w:numPr>
                    <w:ind w:left="2340"/>
                  </w:pPr>
                  <w:r>
                    <w:t xml:space="preserve">The resignation, removal or retirement of a director.</w:t>
                  </w:r>
                </w:p>
                <w:p>
                  <w:pPr>
                    <w:pStyle w:val="BodyText"/>
                  </w:pPr>
                  <w:pPr>
                    <w:pStyle w:val="ListParagraph"/>
                    <w:numPr>
                      <w:ilvl w:val="2"/>
                      <w:numId w:val="16"/>
                    </w:numPr>
                    <w:ind w:left="2340"/>
                  </w:pPr>
                  <w:r>
                    <w:t xml:space="preserve">Important changes to the role, functions or responsibilities of a director.</w:t>
                  </w:r>
                </w:p>
                <w:p>
                  <w:pPr>
                    <w:pStyle w:val="BodyText"/>
                  </w:pPr>
                  <w:r>
                    <w:t xml:space="preserve">The disclosure must state the effective date of the change if it is not with immediate effect. If the effective date of the change is not yet known this should be stated and a further disclosure made as soon as the effective date has been decided. In the case of an appointment, the notification must also state whether the position is executive, non-executive or chairman and the nature of any specific function or responsibility.</w:t>
                  </w:r>
                </w:p>
                <w:p>
                  <w:pPr>
                    <w:pStyle w:val="BodyText"/>
                  </w:pPr>
                  <w:pPr>
                    <w:pStyle w:val="ListParagraph"/>
                    <w:numPr>
                      <w:ilvl w:val="2"/>
                      <w:numId w:val="16"/>
                    </w:numPr>
                    <w:ind w:left="2340"/>
                  </w:pPr>
                  <w:r>
                    <w:t xml:space="preserve">A company must publicly disclose certain information in respect of any new director appointed to the board including:</w:t>
                  </w:r>
                </w:p>
                <w:p>
                  <w:pPr>
                    <w:pStyle w:val="BodyText"/>
                  </w:pPr>
                  <w:pPr>
                    <w:pStyle w:val="ListParagraph"/>
                    <w:numPr>
                      <w:ilvl w:val="3"/>
                      <w:numId w:val="17"/>
                    </w:numPr>
                    <w:ind w:left="3120"/>
                  </w:pPr>
                  <w:r>
                    <w:t xml:space="preserve">Details of all directorships held by such director in any other publicly quoted company at any time in the previous five years, indicating whether or not the individual is still a director. </w:t>
                  </w:r>
                </w:p>
                <w:p>
                  <w:pPr>
                    <w:pStyle w:val="BodyText"/>
                  </w:pPr>
                  <w:pPr>
                    <w:pStyle w:val="ListParagraph"/>
                    <w:numPr>
                      <w:ilvl w:val="3"/>
                      <w:numId w:val="17"/>
                    </w:numPr>
                    <w:ind w:left="3120"/>
                  </w:pPr>
                  <w:r>
                    <w:t xml:space="preserve">The details relating to such matters as any unspent criminal convictions and bankruptcies of such director, </w:t>
                  </w:r>
                  <w:r>
                    <w:t xml:space="preserve">or an appropriate negative statement. Disclosure must be made as soon as possible following the decision to appoint the director and in any event within five business days of the decision.</w:t>
                  </w:r>
                </w:p>
                <w:p>
                  <w:pPr>
                    <w:pStyle w:val="BodyText"/>
                  </w:pPr>
                  <w:pPr>
                    <w:pStyle w:val="ListParagraph"/>
                    <w:numPr>
                      <w:ilvl w:val="2"/>
                      <w:numId w:val="16"/>
                    </w:numPr>
                    <w:ind w:left="2340"/>
                  </w:pPr>
                  <w:r>
                    <w:t xml:space="preserve">In respect of a current director, a company must publicly disclose as soon as possible any change in the details previously disclosed, including any new directorships held by the director in any other publicly quoted company.</w:t>
                  </w:r>
                </w:p>
                <w:p>
                  <w:pPr>
                    <w:pStyle w:val="BodyText"/>
                  </w:pPr>
                  <w:r>
                    <w:t xml:space="preserve">Public disclosure for Irish-listed companies is typically made through Regulatory Information Services permitted by Euronext Dublin. These organizations receive announcements from issuers and then disseminate the full text of these to secondary information providers such as Bloomberg and Reuters. Disclosure to a Regulatory Information Service will fulfill a company's requirement for public disclosure. In some circumstances, a listed company is also obliged to make information available on its website (such as its annual report).</w:t>
                  </w:r>
                </w:p>
                <w:p>
                  <w:pPr>
                    <w:pStyle w:val="BodyText"/>
                  </w:pPr>
                  <w:r>
                    <w:rPr>
                      <w:b/>
                    </w:rPr>
                    <w:t xml:space="preserve">Financial statements</w:t>
                  </w:r>
                </w:p>
                <w:p>
                  <w:pPr>
                    <w:pStyle w:val="BodyText"/>
                  </w:pPr>
                  <w:r>
                    <w:t xml:space="preserve">A company must publish an annual financial report not later than four months after the end of its financial year. The report must remain publicly available for at least 10 years. The report must include the audited financial statements, a management report and responsibility statements.</w:t>
                  </w:r>
                </w:p>
                <w:p>
                  <w:pPr>
                    <w:pStyle w:val="BodyText"/>
                  </w:pPr>
                  <w:r>
                    <w:t xml:space="preserve">For a company which is required to prepare consolidated accounts, the audited financial statements must comprise consolidated accounts prepared in accordance with IFRS and accounts of the parent company prepared in accordance with the laws of the State in which the parent is incorporated.</w:t>
                  </w:r>
                </w:p>
                <w:p>
                  <w:pPr>
                    <w:pStyle w:val="BodyText"/>
                  </w:pPr>
                  <w:r>
                    <w:t xml:space="preserve">These financial statements must be audited in accordance with the auditing standards applicable in an EEA State and the audit report must be reproduced in full as part of the annual financial report.</w:t>
                  </w:r>
                </w:p>
                <w:p>
                  <w:pPr>
                    <w:pStyle w:val="BodyText"/>
                  </w:pPr>
                  <w:r>
                    <w:t xml:space="preserve">Where a foreign company is incorporated in a country or territory that is not an EEA State, it must ensure that the person who provides the audit report is either:</w:t>
                  </w:r>
                </w:p>
                <w:p>
                  <w:pPr>
                    <w:pStyle w:val="BodyText"/>
                  </w:pPr>
                  <w:pPr>
                    <w:pStyle w:val="ListParagraph"/>
                    <w:numPr>
                      <w:ilvl w:val="0"/>
                      <w:numId w:val="18"/>
                    </w:numPr>
                  </w:pPr>
                  <w:r>
                    <w:t xml:space="preserve">Entered on the register of third country auditors kept for the purposes of the Companies Act 2014.</w:t>
                  </w:r>
                </w:p>
                <w:p>
                  <w:pPr>
                    <w:pStyle w:val="BodyText"/>
                  </w:pPr>
                  <w:pPr>
                    <w:pStyle w:val="ListParagraph"/>
                    <w:numPr>
                      <w:ilvl w:val="0"/>
                      <w:numId w:val="18"/>
                    </w:numPr>
                  </w:pPr>
                  <w:r>
                    <w:t xml:space="preserve">Eligible for appointment as a statutory auditor under the Companies Act 2014.</w:t>
                  </w:r>
                </w:p>
                <w:p>
                  <w:pPr>
                    <w:pStyle w:val="BodyText"/>
                  </w:pPr>
                  <w:pPr>
                    <w:pStyle w:val="ListParagraph"/>
                    <w:numPr>
                      <w:ilvl w:val="0"/>
                      <w:numId w:val="18"/>
                    </w:numPr>
                  </w:pPr>
                  <w:r>
                    <w:t xml:space="preserve">Approved by the competent authority of another EEA State to carry out audits of annual or consolidated accounts.</w:t>
                  </w:r>
                </w:p>
                <w:p>
                  <w:pPr>
                    <w:pStyle w:val="BodyText"/>
                  </w:pPr>
                  <w:r>
                    <w:t xml:space="preserve">The management report must contain a fair review of the company's business and a description of the principal risks and uncertainties facing the company and must otherwise comply with more detailed requirements set out by the CBI in its role as competent authority under the Transparency Directive (Directive 2004/109/EC).</w:t>
                  </w:r>
                </w:p>
                <w:p>
                  <w:pPr>
                    <w:pStyle w:val="BodyText"/>
                  </w:pPr>
                  <w:r>
                    <w:t xml:space="preserve">Responsibility statements must be made by the persons responsible within the company (whose names and functions must be clearly indicated) and set out that, to the best of the knowledge of each person making the statement, the financial statements give a true and fair view of the assets, liabilities, financial position and profit or loss of the company and its consolidated undertakings, taken as a whole; and the management report includes a fair review of the development and performance of the business and the position of the company and its consolidated undertakings, taken as a whole, together with a description of the principal risks and uncertainties that they face.</w:t>
                  </w:r>
                </w:p>
                <w:p>
                  <w:pPr>
                    <w:pStyle w:val="BodyText"/>
                  </w:pPr>
                  <w:r>
                    <w:t xml:space="preserve">All listed companies must also include in its annual report a report to the shareholders by the board containing details of the unexpired term of the director's service contract of any director proposed for election or re-election at the next annual general meeting, or a statement that such director has no service contract.</w:t>
                  </w:r>
                </w:p>
                <w:p>
                  <w:pPr>
                    <w:pStyle w:val="BodyText"/>
                  </w:pPr>
                  <w:r>
                    <w:t xml:space="preserve">The auditors' report on the company's financial statements must cover some of these disclosures. If the company has not made the requisite disclosures, the report must include, to the extent possible, a statement giving details of the non-compliance.</w:t>
                  </w:r>
                </w:p>
                <w:p>
                  <w:pPr>
                    <w:pStyle w:val="BodyText"/>
                  </w:pPr>
                  <w:r>
                    <w:t xml:space="preserve">The EU Corporate Sustainability Reporting Directive is applicable in Ireland. For financial years commencing on or after 1 January 2024 (reporting year 2025), large issuers with over 500 employees listed on Euronext Dublin must include additional sustainability information in the directors’ report in accordance with European Sustainability Reporting Standards.  Member States, including Ireland, must transpose significant simplification amendments to that Directive by 19 March 2027 as part of the EU’s Omnibus I Directive.</w:t>
                  </w:r>
                </w:p>
                <w:p>
                  <w:pPr>
                    <w:pStyle w:val="BodyText"/>
                  </w:pPr>
                  <w:r>
                    <w:rPr>
                      <w:b/>
                    </w:rPr>
                    <w:t xml:space="preserve">Interim financial statements</w:t>
                  </w:r>
                </w:p>
                <w:p>
                  <w:pPr>
                    <w:pStyle w:val="BodyText"/>
                  </w:pPr>
                  <w:r>
                    <w:t xml:space="preserve">As well as the annual financial report described above, the company must also publish a half-yearly financial report covering the first six months of the financial year. The report must be published not later than three months after the end of the period to which it relates, and must remain publicly available for at least 10 years.</w:t>
                  </w:r>
                </w:p>
                <w:p>
                  <w:pPr>
                    <w:pStyle w:val="BodyText"/>
                  </w:pPr>
                  <w:r>
                    <w:t xml:space="preserve">The half-yearly financial report must contain: a condensed set of financial statements, an interim management report and responsibility statements.</w:t>
                  </w:r>
                </w:p>
                <w:p>
                  <w:pPr>
                    <w:pStyle w:val="BodyText"/>
                  </w:pPr>
                  <w:r>
                    <w:t xml:space="preserve">The half-yearly financial report must contain (a) an indication of important events that have occurred during the first six months of the financial year (and their impact on the condensed set of financial statements); and (b) a description of the principal risks and uncertainties facing the company for the remaining six months of the financial year and must otherwise comply with the detailed requirements set out by the CBI.</w:t>
                  </w:r>
                </w:p>
                <w:p>
                  <w:pPr>
                    <w:pStyle w:val="BodyText"/>
                  </w:pPr>
                  <w:r>
                    <w:t xml:space="preserve">If the half-yearly financial report is not audited, a company must make a statement to this effect in the report.</w:t>
                  </w:r>
                </w:p>
                <w:p>
                  <w:pPr>
                    <w:pStyle w:val="BodyText"/>
                  </w:pPr>
                  <w:r>
                    <w:t xml:space="preserve">The accounting policies and presentation applied to the half-yearly figures must be consistent with those applied in the latest published annual accounts, unless Euronext Dublin otherwise agrees or the accounting policies and presentation are to be changed in subsequent annual accounts.</w:t>
                  </w:r>
                </w:p>
                <w:p>
                  <w:pPr>
                    <w:pStyle w:val="BodyText"/>
                  </w:pPr>
                  <w:r>
                    <w:t xml:space="preserve">Certain companies active in the extractive and primary logging of forestry industries are expected to be required to prepare a report annually on the payments that they make to governments each financial year for financial years beginning on or after 1 January 2015.</w:t>
                  </w:r>
                </w:p>
                <w:p>
                  <w:pPr>
                    <w:pStyle w:val="BodyText"/>
                  </w:pPr>
                  <w:r>
                    <w:rPr>
                      <w:b/>
                    </w:rPr>
                    <w:t xml:space="preserve">Insider dealing </w:t>
                  </w:r>
                </w:p>
                <w:p>
                  <w:pPr>
                    <w:pStyle w:val="BodyText"/>
                  </w:pPr>
                  <w:r>
                    <w:t xml:space="preserve">The Irish market abuse regulations (European Union (Market Abuse) Regulations 2016, as amended) </w:t>
                  </w:r>
                  <w:r>
                    <w:t xml:space="preserve">reflect Ireland's implementation of the Market Abuse Regulation (Regulation (EU) No. 596/2014) (MAR) and the Market Abuse Directive (Directive 2014/57/EU). The Irish market abuse regulations provide that it is a criminal offence for an individual who has inside information, to deal in securities on Euronext Dublin or another regulated market, or through a professional intermediary, or to encourage another person to deal in such securities. It is also a criminal offence for an insider to disclose the information to another person, other than in the proper performance of their employment, office or profession. For an offence to be committed, the individual must know that the information is inside information and they must have knowingly acquired it from an inside source. There are also offences of encouraging dealing and disclosure by persons who have inside information.</w:t>
                  </w:r>
                </w:p>
                <w:p>
                  <w:pPr>
                    <w:pStyle w:val="BodyText"/>
                  </w:pPr>
                  <w:r>
                    <w:t xml:space="preserve">For these purposes, inside information is, broadly speaking, specific or precise unpublished information relating to a particular issuer or particular securities which, if made public, would have a significant effect on the price of any securities. It should be noted that a director who knowingly has inside information about his company, or any other company with which his company has dealings, would be an insider for the purposes of the insider dealing legislation.</w:t>
                  </w:r>
                </w:p>
                <w:p>
                  <w:pPr>
                    <w:pStyle w:val="BodyText"/>
                  </w:pPr>
                  <w:r>
                    <w:t xml:space="preserve">The penalty for an offence under the Irish market abuse regulations is a maximum fine of €10 million (approximately US$11.75 million) or imprisonment for a maximum of 10 years, or both. There are a number of defenses, but it should be noted that these are normally restrictively interpreted and the burden of proof lies with the defendant.</w:t>
                  </w:r>
                </w:p>
                <w:p>
                  <w:pPr>
                    <w:pStyle w:val="BodyText"/>
                  </w:pPr>
                  <w:r>
                    <w:rPr>
                      <w:b/>
                    </w:rPr>
                    <w:t xml:space="preserve">Market abuse </w:t>
                  </w:r>
                </w:p>
                <w:p>
                  <w:pPr>
                    <w:pStyle w:val="BodyText"/>
                  </w:pPr>
                  <w:r>
                    <w:t xml:space="preserve">The civil prohibition on market abuse in the Irish market abuse regulations works in tandem with the criminal sanctions against insider dealing and market manipulation and extends the reach of the regulator to all market participants (whether or not authorized).</w:t>
                  </w:r>
                </w:p>
                <w:p>
                  <w:pPr>
                    <w:pStyle w:val="BodyText"/>
                  </w:pPr>
                  <w:r>
                    <w:t xml:space="preserve">Under the Irish market abuse regulations, the CBI, as regulator of the financial markets, is empowered to decide that certain conduct constitutes market abuse. It can then impose fines of up to €15 million (approximately US$17.62 million), or 15% of the total annual turnover of a legal person, or up to €5 million (approximately US$5.87 million) in the case of an individual, and/or other penalties.</w:t>
                  </w:r>
                </w:p>
                <w:p>
                  <w:pPr>
                    <w:pStyle w:val="BodyText"/>
                  </w:pPr>
                  <w:r>
                    <w:t xml:space="preserve">Broadly speaking, market abuse may be described as insider dealing, the unlawful disclosure of inside information and market manipulation in relation to any qualifying investments admitted to trading on a prescribed market or in respect of which a request has been made for admission.</w:t>
                  </w:r>
                </w:p>
                <w:p>
                  <w:pPr>
                    <w:pStyle w:val="BodyText"/>
                  </w:pPr>
                  <w:r>
                    <w:t xml:space="preserve">MAR provides that there are certain safe harbors from market abuse for certain behavior including buy-backs of securities and stabilization, provided the specified conditions are satisfied.</w:t>
                  </w:r>
                </w:p>
                <w:p>
                  <w:pPr>
                    <w:pStyle w:val="BodyText"/>
                  </w:pPr>
                  <w:r>
                    <w:t xml:space="preserve">The CBI may institute proceedings not only for direct engagement in market abuse but also for acts or omissions which require or encourage another to engage in behavior which would constitute market abuse if engaged in by the person who encouraged the other.</w:t>
                  </w:r>
                </w:p>
                <w:p>
                  <w:pPr>
                    <w:pStyle w:val="BodyText"/>
                  </w:pPr>
                  <w:r>
                    <w:t xml:space="preserve">It should be noted that proof of intent to engage in market abuse is not required: it is sufficient that the behavior satisfies the criteria for market abuse.</w:t>
                  </w:r>
                </w:p>
                <w:p>
                  <w:pPr>
                    <w:pStyle w:val="BodyText"/>
                  </w:pPr>
                  <w:r>
                    <w:t xml:space="preserve">The requirements in this section do not vary from what would be expected of a domestic company.</w:t>
                  </w:r>
                </w:p>
                <w:p>
                  <w:pPr>
                    <w:pStyle w:val="BodyText"/>
                  </w:pPr>
                  <w:r>
                    <w:rPr>
                      <w:b/>
                    </w:rPr>
                    <w:t xml:space="preserve">Dematerialization of shares </w:t>
                  </w:r>
                </w:p>
                <w:p>
                  <w:pPr>
                    <w:pStyle w:val="BodyText"/>
                  </w:pPr>
                  <w:r>
                    <w:t xml:space="preserve">The EU Central Securities Depositories Regulation (EU) No. 909/2014 is directly applicable in Ireland and requires new issues of transferable securities to be represented in dematerialized (i.e. book-entry) form from 1 January 2023.  Shares issued before 1 January 2023 were required to be dematerialized by 1 January 2025.</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Market expectations</w:t>
                  </w:r>
                </w:p>
                <w:p>
                  <w:pPr>
                    <w:pStyle w:val="BodyText"/>
                  </w:pPr>
                  <w:r>
                    <w:t xml:space="preserve">Investors will normally expect a foreign company to maintain a minimum standard of corporate governance after listing. The investment bank(s) advising on the listing will therefore often recommend that the company appoints one or more independent non-executive directors to the board of directors of the company. The process of ensuring that the company's standards of corporate governance are acceptable to investors may also require that the company adopt new constitutive documents and/or establish audit and/or remuneration committees, to the extent not already in place.</w:t>
                  </w:r>
                </w:p>
                <w:p>
                  <w:pPr>
                    <w:pStyle w:val="BodyText"/>
                  </w:pPr>
                  <w:r>
                    <w:rPr>
                      <w:i/>
                    </w:rPr>
                    <w:t xml:space="preserve">Annual corporate governance statement</w:t>
                  </w:r>
                </w:p>
                <w:p>
                  <w:pPr>
                    <w:pStyle w:val="BodyText"/>
                  </w:pPr>
                  <w:r>
                    <w:t xml:space="preserve">An Irish company must state in its annual report whether or not it has complied with the Irish Corporate Governance Code and if it has not complied with it, it must provide details of the provisions which were not complied with and its reasons for non-compliance.  If the company is dual-listed in both Ireland and the UK, it has the option to either follow the Irish Corporate Governance Code or the UK Corporate Governance Code.</w:t>
                  </w:r>
                </w:p>
                <w:p>
                  <w:pPr>
                    <w:pStyle w:val="BodyText"/>
                  </w:pPr>
                  <w:r>
                    <w:t xml:space="preserve">A foreign company must disclose in its annual report the corporate governance code to which it is subject or which it has voluntarily decided to apply, where that code is publicly available, and where it departs from the corporate governance code, explain which parts of the corporate governance code it departs from and the reasons for doing so.</w:t>
                  </w:r>
                </w:p>
                <w:p>
                  <w:pPr>
                    <w:pStyle w:val="BodyText"/>
                  </w:pPr>
                  <w:r>
                    <w:rPr>
                      <w:i/>
                    </w:rPr>
                    <w:t xml:space="preserve">Irish Corporate Governance Code</w:t>
                  </w:r>
                </w:p>
                <w:p>
                  <w:pPr>
                    <w:pStyle w:val="BodyText"/>
                  </w:pPr>
                  <w:r>
                    <w:t xml:space="preserve">The Irish Corporate Governance Code applies to Irish companies with an equity listing on Euronext Dublin.  It applies to financial years commencing on or after 1 January 2025.</w:t>
                  </w:r>
                </w:p>
                <w:p>
                  <w:pPr>
                    <w:pStyle w:val="BodyText"/>
                  </w:pPr>
                  <w:r>
                    <w:t xml:space="preserve">Historically, Irish companies listed in Ireland followed the UK Corporate Governance Code, supplemented by the Irish Corporate Governance Annex.  This alignment, along with the UK Code’s reputation and familiarity among companies and shareholders, led to the decision to use the same principle and provision basis for the Irish Corporate Governance Code as is used in the UK Corporate Governance Code, whilst adapting it for the Irish market.</w:t>
                  </w:r>
                </w:p>
                <w:p>
                  <w:pPr>
                    <w:pStyle w:val="BodyText"/>
                  </w:pPr>
                  <w:r>
                    <w:t xml:space="preserve">Some of the aspects in which the Code diverges from the approach under the UK Code include:</w:t>
                  </w:r>
                </w:p>
                <w:p>
                  <w:pPr>
                    <w:pStyle w:val="BodyText"/>
                  </w:pPr>
                  <w:pPr>
                    <w:pStyle w:val="ListParagraph"/>
                    <w:numPr>
                      <w:ilvl w:val="0"/>
                      <w:numId w:val="11"/>
                    </w:numPr>
                  </w:pPr>
                  <w:r>
                    <w:rPr>
                      <w:u w:val="single"/>
                    </w:rPr>
                    <w:t xml:space="preserve">Shareholder Engagement</w:t>
                  </w:r>
                  <w:r>
                    <w:t xml:space="preserve">: The threshold for addressing shareholder votes against a board recommendation under the Code is 25% (compared to 20% under the UK Corporate Governance Code) to align with the threshold for special resolutions under the Companies Act 2014. The Code requires that the board detail the engagement process undertaken to consult with shareholders, but the requirement for publication of a six-month shareholder update under the UK Corporate Governance Code is not included.</w:t>
                  </w:r>
                </w:p>
                <w:p>
                  <w:pPr>
                    <w:pStyle w:val="BodyText"/>
                  </w:pPr>
                  <w:pPr>
                    <w:pStyle w:val="ListParagraph"/>
                    <w:numPr>
                      <w:ilvl w:val="0"/>
                      <w:numId w:val="11"/>
                    </w:numPr>
                  </w:pPr>
                  <w:r>
                    <w:rPr>
                      <w:u w:val="single"/>
                    </w:rPr>
                    <w:t xml:space="preserve">Key Stakeholders</w:t>
                  </w:r>
                  <w:r>
                    <w:t xml:space="preserve">: The board should describe in the annual report how the views of stakeholders and the interests of the company have been considered in board discussions and decision-making. The board should also explain the arrangements in place for engagement with the workforce together with a requirement to review its Speaking Up policy, however the prescribed method of engagement with the workforce under the UK Corporate Governance Code is not included.</w:t>
                  </w:r>
                </w:p>
                <w:p>
                  <w:pPr>
                    <w:pStyle w:val="BodyText"/>
                  </w:pPr>
                  <w:pPr>
                    <w:pStyle w:val="ListParagraph"/>
                    <w:numPr>
                      <w:ilvl w:val="0"/>
                      <w:numId w:val="11"/>
                    </w:numPr>
                  </w:pPr>
                  <w:r>
                    <w:rPr>
                      <w:u w:val="single"/>
                    </w:rPr>
                    <w:t xml:space="preserve">Director Independence</w:t>
                  </w:r>
                  <w:r>
                    <w:t xml:space="preserve">: The criteria likely to impair a director’s independence from being an employee of the company refer to “within the last three years” (the UK Corporate Governance Code refers to the last five years).</w:t>
                  </w:r>
                </w:p>
                <w:p>
                  <w:pPr>
                    <w:pStyle w:val="BodyText"/>
                  </w:pPr>
                  <w:pPr>
                    <w:pStyle w:val="ListParagraph"/>
                    <w:numPr>
                      <w:ilvl w:val="0"/>
                      <w:numId w:val="11"/>
                    </w:numPr>
                  </w:pPr>
                  <w:r>
                    <w:rPr>
                      <w:u w:val="single"/>
                    </w:rPr>
                    <w:t xml:space="preserve">Role of Company Secretary</w:t>
                  </w:r>
                  <w:r>
                    <w:t xml:space="preserve">: The Irish Corporate Governance Code includes more information to reflect the role of the company secretary in corporate governance, noting that information flow within the board and its committees and between management and non-executive board members is under the direction of the chair.</w:t>
                  </w:r>
                </w:p>
                <w:p>
                  <w:pPr>
                    <w:pStyle w:val="BodyText"/>
                  </w:pPr>
                  <w:pPr>
                    <w:pStyle w:val="ListParagraph"/>
                    <w:numPr>
                      <w:ilvl w:val="0"/>
                      <w:numId w:val="11"/>
                    </w:numPr>
                  </w:pPr>
                  <w:r>
                    <w:rPr>
                      <w:u w:val="single"/>
                    </w:rPr>
                    <w:t xml:space="preserve">Board Skill, Knowledge &amp; Experience</w:t>
                  </w:r>
                  <w:r>
                    <w:t xml:space="preserve">: The Irish Corporate Governance Code provides that the nomination committee should use the results of the board performance review to identify and prepare a description of the skills, knowledge and experience required on the board as part of the appointments and succession planning process. Where the requisite skills and expertise are not available on the board, the board should ensure that it has access to such expertise and skills.</w:t>
                  </w:r>
                </w:p>
                <w:p>
                  <w:pPr>
                    <w:pStyle w:val="BodyText"/>
                  </w:pPr>
                  <w:pPr>
                    <w:pStyle w:val="ListParagraph"/>
                    <w:numPr>
                      <w:ilvl w:val="0"/>
                      <w:numId w:val="11"/>
                    </w:numPr>
                  </w:pPr>
                  <w:r>
                    <w:rPr>
                      <w:u w:val="single"/>
                    </w:rPr>
                    <w:t xml:space="preserve">Diversity &amp; Inclusion Policy</w:t>
                  </w:r>
                  <w:r>
                    <w:t xml:space="preserve">: The company should have a diversity and inclusion policy regarding gender and other aspects that are of relevance to the company, which includes measurable objectives, and it should be reviewed annually.</w:t>
                  </w:r>
                </w:p>
                <w:p>
                  <w:pPr>
                    <w:pStyle w:val="BodyText"/>
                  </w:pPr>
                  <w:pPr>
                    <w:pStyle w:val="ListParagraph"/>
                    <w:numPr>
                      <w:ilvl w:val="0"/>
                      <w:numId w:val="11"/>
                    </w:numPr>
                  </w:pPr>
                  <w:r>
                    <w:rPr>
                      <w:u w:val="single"/>
                    </w:rPr>
                    <w:t xml:space="preserve">Audit Committee</w:t>
                  </w:r>
                  <w:r>
                    <w:t xml:space="preserve">: At least one member of the audit committee should have “competence in accounting or auditing” (rather than “recent and relevant financial experience” under the UK Corporate Governance Code). The role of the audit committee includes monitoring the “corporate reporting process” (rather than the “financial reporting process” under the UK Corporate Governance Code).</w:t>
                  </w:r>
                </w:p>
                <w:p>
                  <w:pPr>
                    <w:pStyle w:val="BodyText"/>
                  </w:pPr>
                  <w:pPr>
                    <w:pStyle w:val="ListParagraph"/>
                    <w:numPr>
                      <w:ilvl w:val="0"/>
                      <w:numId w:val="11"/>
                    </w:numPr>
                  </w:pPr>
                  <w:r>
                    <w:rPr>
                      <w:u w:val="single"/>
                    </w:rPr>
                    <w:t xml:space="preserve">Risk &amp; Internal Controls</w:t>
                  </w:r>
                  <w:r>
                    <w:t xml:space="preserve">: This wording of this provision aligns with the Companies Act 2014 by referring to “internal control and risk management systems”. The new provision in the UK Corporate Governance Code, requiring more prescriptive disclosures regarding the risk management and internals controls, is not included.</w:t>
                  </w:r>
                </w:p>
                <w:p>
                  <w:pPr>
                    <w:pStyle w:val="BodyText"/>
                  </w:pPr>
                  <w:pPr>
                    <w:pStyle w:val="ListParagraph"/>
                    <w:numPr>
                      <w:ilvl w:val="0"/>
                      <w:numId w:val="11"/>
                    </w:numPr>
                  </w:pPr>
                  <w:r>
                    <w:rPr>
                      <w:u w:val="single"/>
                    </w:rPr>
                    <w:t xml:space="preserve">Remuneration</w:t>
                  </w:r>
                  <w:r>
                    <w:t xml:space="preserve">: Share awards should be subject to a minimum vesting period of three years (compared to five years under the UK Corporate Governance Code). The Irish Corporate Governance Code provides that a description of a company’s malus and clawback provisions be included in the annual report, however it does not include the new UK Corporate Governance Code Provision 38 on malus and clawback, as Euronext Dublin believes that it is too prescriptive.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additional requirements, or any changes in the normal requirements, that apply to very large multinational companies or smaller companies. There are no situations in which a fast track or expedited listing can be procured.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requirements on listed foreign companies to maintain a presence in Ireland, except for a listed foreign company to appoint a listing agent as described above.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Listing Fee Book 2026 applies to companies that have equity securities admitted to listing and/or trading on Euronext markets as of 1 January 2025.  Fees related to Euronext Dublin are exclusive of VAT and must be paid within thirty (30) days of the invoice date by bank transfer to the bank account indicated in the invoice.  </w:t>
                  </w:r>
                </w:p>
                <w:p>
                  <w:pPr>
                    <w:pStyle w:val="BodyText"/>
                  </w:pPr>
                  <w:r>
                    <w:t xml:space="preserve">A fee is payable by a company for its securities being admitted to listing and/or trading on Euronext Dublin in connection with an initial admission.</w:t>
                  </w:r>
                </w:p>
                <w:p>
                  <w:pPr>
                    <w:pStyle w:val="BodyText"/>
                  </w:pPr>
                  <w:r>
                    <w:rPr>
                      <w:i/>
                    </w:rPr>
                    <w:t xml:space="preserve">Advanced payment fee</w:t>
                  </w:r>
                </w:p>
                <w:p>
                  <w:pPr>
                    <w:pStyle w:val="BodyText"/>
                  </w:pPr>
                  <w:r>
                    <w:t xml:space="preserve">An advanced payment fee is payable by a company and is deducted from the initial admission fee if the initial admission takes place.  For admissions to Euronext Dublin, the advance payment fee is €20,000 (approximately US$23,491) where the expected market capitalization is less than €1 billion (approximately US$1.17 billion) and €100,000 (approximately US$117,454) where the expected market capitalization is equal to or above €1 billion (approximately US$1.17 billion).</w:t>
                  </w:r>
                </w:p>
                <w:p>
                  <w:pPr>
                    <w:pStyle w:val="BodyText"/>
                  </w:pPr>
                  <w:r>
                    <w:rPr>
                      <w:i/>
                    </w:rPr>
                    <w:t xml:space="preserve">Standard initial admission fees</w:t>
                  </w:r>
                  <w:r>
                    <w:rPr>
                      <w:b/>
                    </w:rPr>
                    <w:t xml:space="preserve"> </w:t>
                  </w:r>
                </w:p>
                <w:p>
                  <w:pPr>
                    <w:pStyle w:val="BodyText"/>
                  </w:pPr>
                  <w:r>
                    <w:t xml:space="preserve">Standard initial admission fees are made up of a variable fee and a fixed fee (in the case of market capitalization greater than €50 million (approximately US$58.73 million)).   The variable fee is based on market capitalization calculated on the basis of the offering price or, in the case of a company which is not making a public offering or a private placement for listing or admission purposes (e.g. Euronext market transfer, spin off, merger, etc.), the fees will be calculated on the basis of closing price on the first day of trading.  The maximum standard initial admission fee for Euronext Dublin is €2.5 million (approximately US$2.94 million).</w:t>
                  </w:r>
                </w:p>
                <w:p>
                  <w:pPr>
                    <w:pStyle w:val="BodyText"/>
                  </w:pPr>
                  <w:r>
                    <w:t xml:space="preserve">Specific initial admission fees may also be payable, for example for a technical admission of equity securities already admitted on an exchange other than a Euronext Market (maximum €385,000 (approximately US$452,198)).  A Euronext Additional Listing is free of charge.</w:t>
                  </w:r>
                </w:p>
                <w:p>
                  <w:pPr>
                    <w:pStyle w:val="BodyText"/>
                  </w:pPr>
                  <w:r>
                    <w:rPr>
                      <w:i/>
                    </w:rPr>
                    <w:t xml:space="preserve">Annual fees</w:t>
                  </w:r>
                </w:p>
                <w:p>
                  <w:pPr>
                    <w:pStyle w:val="BodyText"/>
                  </w:pPr>
                  <w:r>
                    <w:t xml:space="preserve">Euronext Dublin charges annual fees through a formula based on the basis of an average market capitalization of the last three months of the previous year (including days with at least one trade).  For example, a company with a market capitalization of €5 billion and above (approximately US$5.87 billion) would pay fees each year of €280,000 (approximately US$328,871).</w:t>
                  </w:r>
                </w:p>
                <w:p>
                  <w:pPr>
                    <w:pStyle w:val="BodyText"/>
                  </w:pPr>
                  <w:r>
                    <w:t xml:space="preserve">As noted above, in the year of Initial Admission, a pro-rata annual fee is payable by companies at the time of Initial Admission.</w:t>
                  </w:r>
                </w:p>
                <w:p>
                  <w:pPr>
                    <w:pStyle w:val="BodyText"/>
                  </w:pPr>
                  <w:r>
                    <w:rPr>
                      <w:i/>
                    </w:rPr>
                    <w:t xml:space="preserve">Other fees</w:t>
                  </w:r>
                </w:p>
                <w:p>
                  <w:pPr>
                    <w:pStyle w:val="BodyText"/>
                  </w:pPr>
                  <w:r>
                    <w:t xml:space="preserve">A fee may also be payable by a company depending on the nature of the event.  For example, a company must pay a fee to remove (delist) its securities from Euronext Dublin of €15,000 (approximately US$17,618), subject to certain exceptions.  Other events, for example change of domicile, issuer name and stock / reverse splits are free of charge.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All information and materials submitted to the CBI and Euronext Dublin or disclosed to the market in Dublin must be in the English language.</w:t>
                  </w:r>
                </w:p>
                <w:p>
                  <w:pPr>
                    <w:pStyle w:val="BodyText"/>
                  </w:pPr>
                  <w:r>
                    <w:t xml:space="preserve">Key differences in requirements for domestic companies</w:t>
                  </w:r>
                </w:p>
                <w:p>
                  <w:pPr>
                    <w:pStyle w:val="BodyText"/>
                  </w:pPr>
                  <w:r>
                    <w:t xml:space="preserve">The key differences in requirements between domestic and foreign companies listing on Euronext Dublin relate to continuing obligations.</w:t>
                  </w:r>
                </w:p>
                <w:p>
                  <w:pPr>
                    <w:pStyle w:val="BodyText"/>
                  </w:pPr>
                  <w:r>
                    <w:t xml:space="preserve">Companies incorporated in Ireland are subject to the following continuing obligations:</w:t>
                  </w:r>
                </w:p>
                <w:p>
                  <w:pPr>
                    <w:pStyle w:val="BodyText"/>
                  </w:pPr>
                  <w:pPr>
                    <w:pStyle w:val="ListParagraph"/>
                    <w:numPr>
                      <w:ilvl w:val="0"/>
                      <w:numId w:val="10"/>
                    </w:numPr>
                  </w:pPr>
                  <w:r>
                    <w:t xml:space="preserve">Significant shareholder notification thresholds are more stringent, and the time periods for these notifications are shorter, for an Irish company as compared to a non-Irish company. </w:t>
                  </w:r>
                </w:p>
                <w:p>
                  <w:pPr>
                    <w:pStyle w:val="BodyText"/>
                  </w:pPr>
                  <w:pPr>
                    <w:pStyle w:val="ListParagraph"/>
                    <w:numPr>
                      <w:ilvl w:val="0"/>
                      <w:numId w:val="10"/>
                    </w:numPr>
                  </w:pPr>
                  <w:r>
                    <w:t xml:space="preserve">Irish-incorporated companies constitute “traded PLCs” for the purpose of the Companies Act 2014 and are required to announce material related party transactions and to put those related party transactions to a vote of independent shareholders under the Second Shareholders’ Rights Directive as implemented in Ireland.</w:t>
                  </w:r>
                </w:p>
                <w:p>
                  <w:pPr>
                    <w:pStyle w:val="BodyText"/>
                  </w:pPr>
                  <w:pPr>
                    <w:pStyle w:val="ListParagraph"/>
                    <w:numPr>
                      <w:ilvl w:val="0"/>
                      <w:numId w:val="10"/>
                    </w:numPr>
                  </w:pPr>
                  <w:r>
                    <w:t xml:space="preserve">An Irish incorporated company with a listing on Euronext Dublin must comply with all of the detailed annual report disclosure requirements set out in the Companies Act 2014 and associated regulations, including, among others, to publish an annual remuneration report and to put a remuneration policy to a vote of shareholders on a periodic basis.</w:t>
                  </w:r>
                </w:p>
                <w:p>
                  <w:pPr>
                    <w:pStyle w:val="BodyText"/>
                  </w:pPr>
                  <w:pPr>
                    <w:pStyle w:val="ListParagraph"/>
                    <w:numPr>
                      <w:ilvl w:val="0"/>
                      <w:numId w:val="10"/>
                    </w:numPr>
                  </w:pPr>
                  <w:r>
                    <w:t xml:space="preserve">An Irish incorporated company listed on Euronext Dublin should generally prepare its financial information in accordance with IFRS.</w:t>
                  </w:r>
                </w:p>
                <w:p>
                  <w:pPr>
                    <w:pStyle w:val="BodyText"/>
                  </w:pPr>
                  <w:pPr>
                    <w:pStyle w:val="ListParagraph"/>
                    <w:numPr>
                      <w:ilvl w:val="0"/>
                      <w:numId w:val="10"/>
                    </w:numPr>
                  </w:pPr>
                  <w:r>
                    <w:t xml:space="preserve">All Irish incorporated companies listed on Euronext Dublin are required to have an audit committee, which is responsible for monitoring the audit function. In practice, most non-Irish incorporated companies with a listing on Euronext Dublin also have an audit committee as this is recommended by the Irish Corporate Governance Code and the UK Corporate Governance Code, which is further described in the section entitled </w:t>
                  </w:r>
                  <w:r>
                    <w:rPr>
                      <w:i/>
                    </w:rPr>
                    <w:t xml:space="preserve">Corporate governance</w:t>
                  </w:r>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Nick Bryans, Adam Farlow, George Marshall, Megan Schellinger and James Thompson in the London office are the most appropriate contacts within Baker McKenzie for inquiries about prospective listings on Euronext Dublin.</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27"/>
    <w:lvlOverride w:ilvl="0">
      <w:startOverride w:val="1"/>
    </w:lvlOverride>
  </w:num>
  <w:num w:numId="18">
    <w:abstractNumId w:val="26"/>
    <w:lvlOverride w:ilvl="0">
      <w:startOverride w:val="1"/>
    </w:lvlOverride>
  </w:num>
  <w:num w:numId="19">
    <w:abstractNumId w:val="34"/>
    <w:lvlOverride w:ilvl="0">
      <w:startOverride w:val="1"/>
    </w:lvlOverride>
  </w:num>
  <w:num w:numId="20">
    <w:abstractNumId w:val="42"/>
    <w:lvlOverride w:ilvl="0">
      <w:startOverride w:val="1"/>
    </w:lvlOverride>
  </w:num>
  <w:num w:numId="21">
    <w:abstractNumId w:val="42"/>
    <w:lvlOverride w:ilvl="0">
      <w:startOverride w:val="1"/>
    </w:lvlOverride>
  </w:num>
  <w:num w:numId="22">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euronext-dublinlisting-doc-and-proc.pdf?rev=1a3aa28f20aa4632a1e2269d403e2596" TargetMode="External" Id="Rdccc6f22218d48fa" /><Relationship Type="http://schemas.openxmlformats.org/officeDocument/2006/relationships/hyperlink" Target="https://resourcehub.bakermckenzie.com/en/-/media/crossborder-listings-handbook/files/2026/euronext-dublin-listing-process.pdf?sc_lang=en&amp;amp;rev=2d847324896543438b416b22364bc953" TargetMode="External" Id="R8ed7446b861c4b0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