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Sweden</w:t>
      </w:r>
      <w:r w:rsidR="00480329"/>
    </w:p>
    <w:p w:rsidRPr="00BC7873" w:rsidR="00BC7873" w:rsidP="00D354EF" w:rsidRDefault="00051AB4" w14:paraId="2476CC56" w14:textId="2FB25FA9">
      <w:pPr>
        <w:pStyle w:val="Title"/>
      </w:pPr>
      <w:r w:rsidRPr="00BC7873">
        <w:t>2. What are the main sources of regulatory laws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sources of regulatory laws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Much of the relevant law in Sweden is derived from EU directives and regulations. In many respects, therefore, Swedish local legislation and rules simply give effect to pan-European legal requirements. However, since many European directives only set minimum standards, the way in which directives are implemented across Europe can vary. In other words, Sweden and other European jurisdictions have introduced local laws that may exceed European level requirements. Directives also contain obligations and discretions at a member state level, and Sweden also has various local rules.</w:t>
              </w:r>
            </w:p>
            <w:p>
              <w:pPr>
                <w:pStyle w:val="BodyText"/>
              </w:pPr>
              <w:r>
                <w:t xml:space="preserve">The main regulatory laws in Sweden for the banking, financial services and insurance industries include, </w:t>
              </w:r>
              <w:r>
                <w:rPr>
                  <w:i/>
                </w:rPr>
                <w:t xml:space="preserve">inter alia</w:t>
              </w:r>
              <w:r>
                <w:t xml:space="preserve">, the following:</w:t>
              </w:r>
            </w:p>
            <w:p>
              <w:pPr>
                <w:pStyle w:val="BodyText"/>
              </w:pPr>
              <w:pPr>
                <w:pStyle w:val="ListParagraph"/>
                <w:numPr>
                  <w:ilvl w:val="0"/>
                  <w:numId w:val="9"/>
                </w:numPr>
              </w:pPr>
              <w:r>
                <w:t xml:space="preserve">Banking and Financing Business Act (</w:t>
              </w:r>
              <w:r>
                <w:rPr>
                  <w:i/>
                </w:rPr>
                <w:t xml:space="preserve">Bank - och finansieringsrörelselagen</w:t>
              </w:r>
              <w:r>
                <w:t xml:space="preserve"> (2004:297))</w:t>
              </w:r>
            </w:p>
            <w:p>
              <w:pPr>
                <w:pStyle w:val="BodyText"/>
              </w:pPr>
              <w:pPr>
                <w:pStyle w:val="ListParagraph"/>
                <w:numPr>
                  <w:ilvl w:val="0"/>
                  <w:numId w:val="9"/>
                </w:numPr>
              </w:pPr>
              <w:r>
                <w:t xml:space="preserve">Securities Market Act (</w:t>
              </w:r>
              <w:r>
                <w:rPr>
                  <w:i/>
                </w:rPr>
                <w:t xml:space="preserve">lag (2007:528)om värdepappersmarknaden</w:t>
              </w:r>
              <w:r>
                <w:t xml:space="preserve">)</w:t>
              </w:r>
            </w:p>
            <w:p>
              <w:pPr>
                <w:pStyle w:val="BodyText"/>
              </w:pPr>
              <w:pPr>
                <w:pStyle w:val="ListParagraph"/>
                <w:numPr>
                  <w:ilvl w:val="0"/>
                  <w:numId w:val="9"/>
                </w:numPr>
              </w:pPr>
              <w:r>
                <w:t xml:space="preserve">Insurance Business Act (</w:t>
              </w:r>
              <w:r>
                <w:rPr>
                  <w:i/>
                </w:rPr>
                <w:t xml:space="preserve">Försäkringsrörelselagen</w:t>
              </w:r>
              <w:r>
                <w:t xml:space="preserve"> (2010:2043))</w:t>
              </w:r>
            </w:p>
            <w:p>
              <w:pPr>
                <w:pStyle w:val="BodyText"/>
              </w:pPr>
              <w:pPr>
                <w:pStyle w:val="ListParagraph"/>
                <w:numPr>
                  <w:ilvl w:val="0"/>
                  <w:numId w:val="9"/>
                </w:numPr>
              </w:pPr>
              <w:r>
                <w:t xml:space="preserve">Insurance Distribution Act (lag (22018:1219) </w:t>
              </w:r>
              <w:r>
                <w:rPr>
                  <w:i/>
                </w:rPr>
                <w:t xml:space="preserve">om</w:t>
              </w:r>
              <w:r>
                <w:t xml:space="preserve"> </w:t>
              </w:r>
              <w:r>
                <w:rPr>
                  <w:i/>
                </w:rPr>
                <w:t xml:space="preserve">försäkringsdistribution</w:t>
              </w:r>
              <w:r>
                <w:t xml:space="preserve">)</w:t>
              </w:r>
            </w:p>
            <w:p>
              <w:pPr>
                <w:pStyle w:val="BodyText"/>
              </w:pPr>
              <w:pPr>
                <w:pStyle w:val="ListParagraph"/>
                <w:numPr>
                  <w:ilvl w:val="0"/>
                  <w:numId w:val="9"/>
                </w:numPr>
              </w:pPr>
              <w:r>
                <w:t xml:space="preserve">Swedish UCITS Act (lag (2004:46) </w:t>
              </w:r>
              <w:r>
                <w:rPr>
                  <w:i/>
                </w:rPr>
                <w:t xml:space="preserve">om värdepappersfonder</w:t>
              </w:r>
              <w:r>
                <w:t xml:space="preserve">)</w:t>
              </w:r>
            </w:p>
            <w:p>
              <w:pPr>
                <w:pStyle w:val="BodyText"/>
              </w:pPr>
              <w:pPr>
                <w:pStyle w:val="ListParagraph"/>
                <w:numPr>
                  <w:ilvl w:val="0"/>
                  <w:numId w:val="9"/>
                </w:numPr>
              </w:pPr>
              <w:r>
                <w:t xml:space="preserve">Alternative Investment Funds Managers Act (</w:t>
              </w:r>
              <w:r>
                <w:rPr>
                  <w:i/>
                </w:rPr>
                <w:t xml:space="preserve">lag (2013:561) om förvaltare av alternativa investeringsfonder</w:t>
              </w:r>
              <w:r>
                <w:t xml:space="preserve">)</w:t>
              </w:r>
            </w:p>
            <w:p>
              <w:pPr>
                <w:pStyle w:val="BodyText"/>
              </w:pPr>
              <w:pPr>
                <w:pStyle w:val="ListParagraph"/>
                <w:numPr>
                  <w:ilvl w:val="0"/>
                  <w:numId w:val="9"/>
                </w:numPr>
              </w:pPr>
              <w:r>
                <w:t xml:space="preserve">Payment Services Act (</w:t>
              </w:r>
              <w:r>
                <w:rPr>
                  <w:i/>
                </w:rPr>
                <w:t xml:space="preserve">lag (2010:751) om betaltjänster</w:t>
              </w:r>
              <w:r>
                <w:t xml:space="preserve">)</w:t>
              </w:r>
            </w:p>
            <w:p>
              <w:pPr>
                <w:pStyle w:val="BodyText"/>
              </w:pPr>
              <w:pPr>
                <w:pStyle w:val="ListParagraph"/>
                <w:numPr>
                  <w:ilvl w:val="0"/>
                  <w:numId w:val="9"/>
                </w:numPr>
              </w:pPr>
              <w:r>
                <w:t xml:space="preserve">Electronic Money Act (</w:t>
              </w:r>
              <w:r>
                <w:rPr>
                  <w:i/>
                </w:rPr>
                <w:t xml:space="preserve">lagen (2011:755) om elektroniska pengar</w:t>
              </w:r>
              <w:r>
                <w:t xml:space="preserve">)</w:t>
              </w:r>
            </w:p>
            <w:p>
              <w:pPr>
                <w:pStyle w:val="BodyText"/>
              </w:pPr>
              <w:pPr>
                <w:pStyle w:val="ListParagraph"/>
                <w:numPr>
                  <w:ilvl w:val="0"/>
                  <w:numId w:val="9"/>
                </w:numPr>
              </w:pPr>
              <w:r>
                <w:t xml:space="preserve">Mortgage Business Act (</w:t>
              </w:r>
              <w:r>
                <w:rPr>
                  <w:i/>
                </w:rPr>
                <w:t xml:space="preserve">lag (2016:1024) om verksamhet med bostadskrediter</w:t>
              </w:r>
              <w:r>
                <w:t xml:space="preserve">)</w:t>
              </w:r>
            </w:p>
            <w:p>
              <w:pPr>
                <w:pStyle w:val="BodyText"/>
              </w:pPr>
              <w:pPr>
                <w:pStyle w:val="ListParagraph"/>
                <w:numPr>
                  <w:ilvl w:val="0"/>
                  <w:numId w:val="9"/>
                </w:numPr>
              </w:pPr>
              <w:r>
                <w:t xml:space="preserve">Deposit Business Act (</w:t>
              </w:r>
              <w:r>
                <w:rPr>
                  <w:i/>
                </w:rPr>
                <w:t xml:space="preserve">lagen (2004:299) om inlåningsverksamhet</w:t>
              </w:r>
              <w:r>
                <w:t xml:space="preserve">)</w:t>
              </w:r>
            </w:p>
            <w:p>
              <w:pPr>
                <w:pStyle w:val="BodyText"/>
              </w:pPr>
              <w:pPr>
                <w:pStyle w:val="ListParagraph"/>
                <w:numPr>
                  <w:ilvl w:val="0"/>
                  <w:numId w:val="9"/>
                </w:numPr>
              </w:pPr>
              <w:r>
                <w:t xml:space="preserve">Certain Financial Operations Reporting Duty Act (</w:t>
              </w:r>
              <w:r>
                <w:rPr>
                  <w:i/>
                </w:rPr>
                <w:t xml:space="preserve">lagen (1996:1006) om valutaväxling och annan finansiell verksamhet</w:t>
              </w:r>
              <w:r>
                <w:t xml:space="preserve">)</w:t>
              </w:r>
            </w:p>
            <w:p>
              <w:pPr>
                <w:pStyle w:val="BodyText"/>
              </w:pPr>
              <w:pPr>
                <w:pStyle w:val="ListParagraph"/>
                <w:numPr>
                  <w:ilvl w:val="0"/>
                  <w:numId w:val="9"/>
                </w:numPr>
              </w:pPr>
              <w:r>
                <w:t xml:space="preserve">Certain Consumer Credit-related Operations Act (</w:t>
              </w:r>
              <w:r>
                <w:rPr>
                  <w:i/>
                </w:rPr>
                <w:t xml:space="preserve">lagen (2014:275) om viss verksamhet med konsumentkrediter</w:t>
              </w:r>
              <w:r>
                <w:t xml:space="preserve">)</w:t>
              </w:r>
            </w:p>
            <w:p>
              <w:pPr>
                <w:pStyle w:val="BodyText"/>
              </w:pPr>
              <w:pPr>
                <w:pStyle w:val="ListParagraph"/>
                <w:numPr>
                  <w:ilvl w:val="0"/>
                  <w:numId w:val="9"/>
                </w:numPr>
              </w:pPr>
              <w:r>
                <w:t xml:space="preserve">Pension Commitments Act </w:t>
              </w:r>
              <w:r>
                <w:rPr>
                  <w:i/>
                </w:rPr>
                <w:t xml:space="preserve">(lag (1967:531) om tryggande av pensionsutfästelse m.m.)</w:t>
              </w:r>
            </w:p>
            <w:p>
              <w:pPr>
                <w:pStyle w:val="BodyText"/>
              </w:pPr>
              <w:pPr>
                <w:pStyle w:val="ListParagraph"/>
                <w:numPr>
                  <w:ilvl w:val="0"/>
                  <w:numId w:val="9"/>
                </w:numPr>
              </w:pPr>
              <w:r>
                <w:t xml:space="preserve">Anti Money Laundering Act (</w:t>
              </w:r>
              <w:r>
                <w:rPr>
                  <w:i/>
                </w:rPr>
                <w:t xml:space="preserve">lag (2017:630) om åtgärder mot penningtvätt och finansiering av terrorism</w:t>
              </w:r>
              <w:r>
                <w:t xml:space="preserve">)</w:t>
              </w:r>
            </w:p>
            <w:p>
              <w:pPr>
                <w:pStyle w:val="BodyText"/>
              </w:pPr>
              <w:r>
                <w:t xml:space="preserve">There is also a large volume of delegated legislation in the form of regulations and guidelines from the SFSA. These regulations and guidelines are applicable primarily to Swedish-regulated or -supervised institutions, but are also relevant in certain respects to non-Swedish institutions.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