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Sweden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November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Sweden has one regulator with the responsibility for the authorization and supervision of banks, insurers, and other financial institutions – the Swedish Financial Supervisory Authority (SFSA).</w:t>
                  </w:r>
                </w:p>
                <w:p>
                  <w:pPr>
                    <w:pStyle w:val="BodyText"/>
                  </w:pPr>
                  <w:r>
                    <w:t xml:space="preserve">Sweden’s Central Bank (</w:t>
                  </w:r>
                  <w:r>
                    <w:rPr>
                      <w:i/>
                    </w:rPr>
                    <w:t xml:space="preserve">Riksbanken</w:t>
                  </w:r>
                  <w:r>
                    <w:t xml:space="preserve">) is a public authority under the Swedish parliament (</w:t>
                  </w:r>
                  <w:r>
                    <w:rPr>
                      <w:i/>
                    </w:rPr>
                    <w:t xml:space="preserve">Sveriges riksdag</w:t>
                  </w:r>
                  <w:r>
                    <w:t xml:space="preserve">). The Central Bank’s objective is to ensure that inflation is low and stable, and is therefore responsible for Sweden’s monetary policy; influencing inflation through the interest rate. The Central Bank has also been given the task of overseeing that the system for making payments functions without disruption. Additionally, the Central Bank issues banknotes and coins and manages Sweden’s reserve of gold and foreign currencies.</w:t>
                  </w:r>
                </w:p>
                <w:p>
                  <w:pPr>
                    <w:pStyle w:val="BodyText"/>
                  </w:pPr>
                  <w:r>
                    <w:t xml:space="preserve">The EU’s supervisory authorities, namely the European Banking Authority, the European Securities and Markets Authority and the European Insurance and Occupational Pensions Authority  play an important role in issuing technical standards, and have powers of supervision over Swedish institutions in some limited respects.</w:t>
                  </w:r>
                </w:p>
                <w:p>
                  <w:pPr>
                    <w:pStyle w:val="BodyText"/>
                  </w:pPr>
                  <w:r>
                    <w:t xml:space="preserve">The European Central Bank (ECB) has recently become the supervisor of Eurozone banks under the EU’s Single Supervisory Mechanism (SSM). Sweden is not in the Eurozone so Swedish banks are not within the scope of the SSM. However, Eurozone branches or subsidiaries of Swedish banks are, in some cases, within the SSM and therefore under supervision by the ECB.</w:t>
                  </w:r>
                </w:p>
                <w:p>
                  <w:pPr>
                    <w:pStyle w:val="BodyText"/>
                  </w:pPr>
                  <w:r>
                    <w:t xml:space="preserve">The Swedish Police Authority leads the national coordinating function for measures to prevent and combat money laundering and terrorist financing and the SFSA is included in this function. The SFSA shares responsibility with the Financial Intelligence Unit within the Swedish Police and the Swedish Economic Crime Authority regarding enforcement of the Swedish anti-money laundering regime in relation to regulated financial institutions and entities under its supervision. Regulated institutions and entities under SFSA supervision who fail to comply with anti-money laundering obligations and requirements risk being subject to punitive measures such as, </w:t>
                  </w:r>
                  <w:r>
                    <w:rPr>
                      <w:i/>
                    </w:rPr>
                    <w:t xml:space="preserve">inter alia</w:t>
                  </w:r>
                  <w:r>
                    <w:t xml:space="preserve">, sanctions or getting their licenses and authorizations revoked.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Much of the relevant law in Sweden is derived from EU directives and regulations. In many respects, therefore, Swedish local legislation and rules simply give effect to pan-European legal requirements. However, since many European directives only set minimum standards, the way in which directives are implemented across Europe can vary. In other words, Sweden and other European jurisdictions have introduced local laws that may exceed European level requirements. Directives also contain obligations and discretions at a member state level, and Sweden also has various local rules.</w:t>
                  </w:r>
                </w:p>
                <w:p>
                  <w:pPr>
                    <w:pStyle w:val="BodyText"/>
                  </w:pPr>
                  <w:r>
                    <w:t xml:space="preserve">The main regulatory laws in Sweden for the banking, financial services and insurance industries include, </w:t>
                  </w:r>
                  <w:r>
                    <w:rPr>
                      <w:i/>
                    </w:rPr>
                    <w:t xml:space="preserve">inter alia</w:t>
                  </w:r>
                  <w:r>
                    <w:t xml:space="preserve">, the following:</w:t>
                  </w:r>
                </w:p>
                <w:p>
                  <w:pPr>
                    <w:pStyle w:val="BodyText"/>
                  </w:pPr>
                  <w:pPr>
                    <w:pStyle w:val="ListParagraph"/>
                    <w:numPr>
                      <w:ilvl w:val="0"/>
                      <w:numId w:val="14"/>
                    </w:numPr>
                  </w:pPr>
                  <w:r>
                    <w:t xml:space="preserve">Banking and Financing Business Act (</w:t>
                  </w:r>
                  <w:r>
                    <w:rPr>
                      <w:i/>
                    </w:rPr>
                    <w:t xml:space="preserve">Bank - och finansieringsrörelselagen</w:t>
                  </w:r>
                  <w:r>
                    <w:t xml:space="preserve"> (2004:297))</w:t>
                  </w:r>
                </w:p>
                <w:p>
                  <w:pPr>
                    <w:pStyle w:val="BodyText"/>
                  </w:pPr>
                  <w:pPr>
                    <w:pStyle w:val="ListParagraph"/>
                    <w:numPr>
                      <w:ilvl w:val="0"/>
                      <w:numId w:val="14"/>
                    </w:numPr>
                  </w:pPr>
                  <w:r>
                    <w:t xml:space="preserve">Securities Market Act (</w:t>
                  </w:r>
                  <w:r>
                    <w:rPr>
                      <w:i/>
                    </w:rPr>
                    <w:t xml:space="preserve">lag (2007:528)om värdepappersmarknaden</w:t>
                  </w:r>
                  <w:r>
                    <w:t xml:space="preserve">)</w:t>
                  </w:r>
                </w:p>
                <w:p>
                  <w:pPr>
                    <w:pStyle w:val="BodyText"/>
                  </w:pPr>
                  <w:pPr>
                    <w:pStyle w:val="ListParagraph"/>
                    <w:numPr>
                      <w:ilvl w:val="0"/>
                      <w:numId w:val="14"/>
                    </w:numPr>
                  </w:pPr>
                  <w:r>
                    <w:t xml:space="preserve">Insurance Business Act (</w:t>
                  </w:r>
                  <w:r>
                    <w:rPr>
                      <w:i/>
                    </w:rPr>
                    <w:t xml:space="preserve">Försäkringsrörelselagen</w:t>
                  </w:r>
                  <w:r>
                    <w:t xml:space="preserve"> (2010:2043))</w:t>
                  </w:r>
                </w:p>
                <w:p>
                  <w:pPr>
                    <w:pStyle w:val="BodyText"/>
                  </w:pPr>
                  <w:pPr>
                    <w:pStyle w:val="ListParagraph"/>
                    <w:numPr>
                      <w:ilvl w:val="0"/>
                      <w:numId w:val="14"/>
                    </w:numPr>
                  </w:pPr>
                  <w:r>
                    <w:t xml:space="preserve">Insurance Distribution Act (lag (22018:1219) </w:t>
                  </w:r>
                  <w:r>
                    <w:rPr>
                      <w:i/>
                    </w:rPr>
                    <w:t xml:space="preserve">om</w:t>
                  </w:r>
                  <w:r>
                    <w:t xml:space="preserve"> </w:t>
                  </w:r>
                  <w:r>
                    <w:rPr>
                      <w:i/>
                    </w:rPr>
                    <w:t xml:space="preserve">försäkringsdistribution</w:t>
                  </w:r>
                  <w:r>
                    <w:t xml:space="preserve">)</w:t>
                  </w:r>
                </w:p>
                <w:p>
                  <w:pPr>
                    <w:pStyle w:val="BodyText"/>
                  </w:pPr>
                  <w:pPr>
                    <w:pStyle w:val="ListParagraph"/>
                    <w:numPr>
                      <w:ilvl w:val="0"/>
                      <w:numId w:val="14"/>
                    </w:numPr>
                  </w:pPr>
                  <w:r>
                    <w:t xml:space="preserve">Swedish UCITS Act (lag (2004:46) </w:t>
                  </w:r>
                  <w:r>
                    <w:rPr>
                      <w:i/>
                    </w:rPr>
                    <w:t xml:space="preserve">om värdepappersfonder</w:t>
                  </w:r>
                  <w:r>
                    <w:t xml:space="preserve">)</w:t>
                  </w:r>
                </w:p>
                <w:p>
                  <w:pPr>
                    <w:pStyle w:val="BodyText"/>
                  </w:pPr>
                  <w:pPr>
                    <w:pStyle w:val="ListParagraph"/>
                    <w:numPr>
                      <w:ilvl w:val="0"/>
                      <w:numId w:val="14"/>
                    </w:numPr>
                  </w:pPr>
                  <w:r>
                    <w:t xml:space="preserve">Alternative Investment Funds Managers Act (</w:t>
                  </w:r>
                  <w:r>
                    <w:rPr>
                      <w:i/>
                    </w:rPr>
                    <w:t xml:space="preserve">lag (2013:561) om förvaltare av alternativa investeringsfonder</w:t>
                  </w:r>
                  <w:r>
                    <w:t xml:space="preserve">)</w:t>
                  </w:r>
                </w:p>
                <w:p>
                  <w:pPr>
                    <w:pStyle w:val="BodyText"/>
                  </w:pPr>
                  <w:pPr>
                    <w:pStyle w:val="ListParagraph"/>
                    <w:numPr>
                      <w:ilvl w:val="0"/>
                      <w:numId w:val="14"/>
                    </w:numPr>
                  </w:pPr>
                  <w:r>
                    <w:t xml:space="preserve">Payment Services Act (</w:t>
                  </w:r>
                  <w:r>
                    <w:rPr>
                      <w:i/>
                    </w:rPr>
                    <w:t xml:space="preserve">lag (2010:751) om betaltjänster</w:t>
                  </w:r>
                  <w:r>
                    <w:t xml:space="preserve">)</w:t>
                  </w:r>
                </w:p>
                <w:p>
                  <w:pPr>
                    <w:pStyle w:val="BodyText"/>
                  </w:pPr>
                  <w:pPr>
                    <w:pStyle w:val="ListParagraph"/>
                    <w:numPr>
                      <w:ilvl w:val="0"/>
                      <w:numId w:val="14"/>
                    </w:numPr>
                  </w:pPr>
                  <w:r>
                    <w:t xml:space="preserve">Electronic Money Act (</w:t>
                  </w:r>
                  <w:r>
                    <w:rPr>
                      <w:i/>
                    </w:rPr>
                    <w:t xml:space="preserve">lagen (2011:755) om elektroniska pengar</w:t>
                  </w:r>
                  <w:r>
                    <w:t xml:space="preserve">)</w:t>
                  </w:r>
                </w:p>
                <w:p>
                  <w:pPr>
                    <w:pStyle w:val="BodyText"/>
                  </w:pPr>
                  <w:pPr>
                    <w:pStyle w:val="ListParagraph"/>
                    <w:numPr>
                      <w:ilvl w:val="0"/>
                      <w:numId w:val="14"/>
                    </w:numPr>
                  </w:pPr>
                  <w:r>
                    <w:t xml:space="preserve">Mortgage Business Act (</w:t>
                  </w:r>
                  <w:r>
                    <w:rPr>
                      <w:i/>
                    </w:rPr>
                    <w:t xml:space="preserve">lag (2016:1024) om verksamhet med bostadskrediter</w:t>
                  </w:r>
                  <w:r>
                    <w:t xml:space="preserve">)</w:t>
                  </w:r>
                </w:p>
                <w:p>
                  <w:pPr>
                    <w:pStyle w:val="BodyText"/>
                  </w:pPr>
                  <w:pPr>
                    <w:pStyle w:val="ListParagraph"/>
                    <w:numPr>
                      <w:ilvl w:val="0"/>
                      <w:numId w:val="14"/>
                    </w:numPr>
                  </w:pPr>
                  <w:r>
                    <w:t xml:space="preserve">Deposit Business Act (</w:t>
                  </w:r>
                  <w:r>
                    <w:rPr>
                      <w:i/>
                    </w:rPr>
                    <w:t xml:space="preserve">lagen (2004:299) om inlåningsverksamhet</w:t>
                  </w:r>
                  <w:r>
                    <w:t xml:space="preserve">)</w:t>
                  </w:r>
                </w:p>
                <w:p>
                  <w:pPr>
                    <w:pStyle w:val="BodyText"/>
                  </w:pPr>
                  <w:pPr>
                    <w:pStyle w:val="ListParagraph"/>
                    <w:numPr>
                      <w:ilvl w:val="0"/>
                      <w:numId w:val="14"/>
                    </w:numPr>
                  </w:pPr>
                  <w:r>
                    <w:t xml:space="preserve">Certain Financial Operations Reporting Duty Act (</w:t>
                  </w:r>
                  <w:r>
                    <w:rPr>
                      <w:i/>
                    </w:rPr>
                    <w:t xml:space="preserve">lagen (1996:1006) om valutaväxling och annan finansiell verksamhet</w:t>
                  </w:r>
                  <w:r>
                    <w:t xml:space="preserve">)</w:t>
                  </w:r>
                </w:p>
                <w:p>
                  <w:pPr>
                    <w:pStyle w:val="BodyText"/>
                  </w:pPr>
                  <w:pPr>
                    <w:pStyle w:val="ListParagraph"/>
                    <w:numPr>
                      <w:ilvl w:val="0"/>
                      <w:numId w:val="14"/>
                    </w:numPr>
                  </w:pPr>
                  <w:r>
                    <w:t xml:space="preserve">Certain Consumer Credit-related Operations Act (</w:t>
                  </w:r>
                  <w:r>
                    <w:rPr>
                      <w:i/>
                    </w:rPr>
                    <w:t xml:space="preserve">lagen (2014:275) om viss verksamhet med konsumentkrediter</w:t>
                  </w:r>
                  <w:r>
                    <w:t xml:space="preserve">)</w:t>
                  </w:r>
                </w:p>
                <w:p>
                  <w:pPr>
                    <w:pStyle w:val="BodyText"/>
                  </w:pPr>
                  <w:pPr>
                    <w:pStyle w:val="ListParagraph"/>
                    <w:numPr>
                      <w:ilvl w:val="0"/>
                      <w:numId w:val="14"/>
                    </w:numPr>
                  </w:pPr>
                  <w:r>
                    <w:t xml:space="preserve">Pension Commitments Act </w:t>
                  </w:r>
                  <w:r>
                    <w:rPr>
                      <w:i/>
                    </w:rPr>
                    <w:t xml:space="preserve">(lag (1967:531) om tryggande av pensionsutfästelse m.m.)</w:t>
                  </w:r>
                </w:p>
                <w:p>
                  <w:pPr>
                    <w:pStyle w:val="BodyText"/>
                  </w:pPr>
                  <w:pPr>
                    <w:pStyle w:val="ListParagraph"/>
                    <w:numPr>
                      <w:ilvl w:val="0"/>
                      <w:numId w:val="14"/>
                    </w:numPr>
                  </w:pPr>
                  <w:r>
                    <w:t xml:space="preserve">Anti Money Laundering Act (</w:t>
                  </w:r>
                  <w:r>
                    <w:rPr>
                      <w:i/>
                    </w:rPr>
                    <w:t xml:space="preserve">lag (2017:630) om åtgärder mot penningtvätt och finansiering av terrorism</w:t>
                  </w:r>
                  <w:r>
                    <w:t xml:space="preserve">)</w:t>
                  </w:r>
                </w:p>
                <w:p>
                  <w:pPr>
                    <w:pStyle w:val="BodyText"/>
                  </w:pPr>
                  <w:r>
                    <w:t xml:space="preserve">There is also a large volume of delegated legislation in the form of regulations and guidelines from the SFSA. These regulations and guidelines are applicable primarily to Swedish-regulated or -supervised institutions, but are also relevant in certain respects to non-Swedish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Sweden regulates a broad range of activities. These include (among others):</w:t>
                  </w:r>
                </w:p>
                <w:p>
                  <w:pPr>
                    <w:pStyle w:val="BodyText"/>
                  </w:pPr>
                  <w:pPr>
                    <w:pStyle w:val="ListParagraph"/>
                    <w:numPr>
                      <w:ilvl w:val="0"/>
                      <w:numId w:val="13"/>
                    </w:numPr>
                  </w:pPr>
                  <w:r>
                    <w:t xml:space="preserve">Accepting deposits – This covers typical retail banking activities involving the operation of current and deposit accounts.</w:t>
                  </w:r>
                </w:p>
                <w:p>
                  <w:pPr>
                    <w:pStyle w:val="BodyText"/>
                  </w:pPr>
                  <w:pPr>
                    <w:pStyle w:val="ListParagraph"/>
                    <w:numPr>
                      <w:ilvl w:val="0"/>
                      <w:numId w:val="13"/>
                    </w:numPr>
                  </w:pPr>
                  <w:r>
                    <w:t xml:space="preserve">Issuing electronic money – Electronic money is a prepaid electronic payment product that can be card- or account-based.</w:t>
                  </w:r>
                </w:p>
                <w:p>
                  <w:pPr>
                    <w:pStyle w:val="BodyText"/>
                  </w:pPr>
                  <w:pPr>
                    <w:pStyle w:val="ListParagraph"/>
                    <w:numPr>
                      <w:ilvl w:val="0"/>
                      <w:numId w:val="13"/>
                    </w:numPr>
                  </w:pPr>
                  <w:r>
                    <w:t xml:space="preserve">Carrying out payment services – This covers a broad range of activities involving matters such as money remittance, card issuance, acquiring card transactions, and the operation of payment accounts.</w:t>
                  </w:r>
                </w:p>
                <w:p>
                  <w:pPr>
                    <w:pStyle w:val="BodyText"/>
                  </w:pPr>
                  <w:pPr>
                    <w:pStyle w:val="ListParagraph"/>
                    <w:numPr>
                      <w:ilvl w:val="0"/>
                      <w:numId w:val="13"/>
                    </w:numPr>
                  </w:pPr>
                  <w:r>
                    <w:t xml:space="preserve">Consumer lending – This covers both lending to consumers as well as activities such as credit brokerage and debt collection on behalf of third parties.</w:t>
                  </w:r>
                </w:p>
                <w:p>
                  <w:pPr>
                    <w:pStyle w:val="BodyText"/>
                  </w:pPr>
                  <w:pPr>
                    <w:pStyle w:val="ListParagraph"/>
                    <w:numPr>
                      <w:ilvl w:val="0"/>
                      <w:numId w:val="13"/>
                    </w:numPr>
                  </w:pPr>
                  <w:r>
                    <w:t xml:space="preserve">Arranging regulated mortgage contracts – This relates to the sale of certain residential mortgage contracts.</w:t>
                  </w:r>
                </w:p>
                <w:p>
                  <w:pPr>
                    <w:pStyle w:val="BodyText"/>
                  </w:pPr>
                  <w:pPr>
                    <w:pStyle w:val="ListParagraph"/>
                    <w:numPr>
                      <w:ilvl w:val="0"/>
                      <w:numId w:val="13"/>
                    </w:numPr>
                  </w:pPr>
                  <w:r>
                    <w:t xml:space="preserve">Carrying on insurance business – This involves effecting and carrying out contracts of insurance, both life and general.</w:t>
                  </w:r>
                </w:p>
                <w:p>
                  <w:pPr>
                    <w:pStyle w:val="BodyText"/>
                  </w:pPr>
                  <w:pPr>
                    <w:pStyle w:val="ListParagraph"/>
                    <w:numPr>
                      <w:ilvl w:val="0"/>
                      <w:numId w:val="13"/>
                    </w:numPr>
                  </w:pPr>
                  <w:r>
                    <w:t xml:space="preserve">Providing investment advice – Providing advice on most categories of investments is a regulated activity in Sweden. This activity covers the provision of advice on the merits of acquiring or disposing of particular investments.</w:t>
                  </w:r>
                </w:p>
                <w:p>
                  <w:pPr>
                    <w:pStyle w:val="BodyText"/>
                  </w:pPr>
                  <w:pPr>
                    <w:pStyle w:val="ListParagraph"/>
                    <w:numPr>
                      <w:ilvl w:val="0"/>
                      <w:numId w:val="13"/>
                    </w:numPr>
                  </w:pPr>
                  <w:r>
                    <w:t xml:space="preserve">Trading in securities and other investments as principal or as agent – This covers brokers as well as most institutions engaged in proprietary trading.</w:t>
                  </w:r>
                </w:p>
                <w:p>
                  <w:pPr>
                    <w:pStyle w:val="BodyText"/>
                  </w:pPr>
                  <w:pPr>
                    <w:pStyle w:val="ListParagraph"/>
                    <w:numPr>
                      <w:ilvl w:val="0"/>
                      <w:numId w:val="13"/>
                    </w:numPr>
                  </w:pPr>
                  <w:r>
                    <w:t xml:space="preserve">Arranging transactions in investments – This activity covers the role of intermediaries in investment transactions. It is very broad and covers infrastructure providers, including electronic communication networks that route orders for execution.</w:t>
                  </w:r>
                </w:p>
                <w:p>
                  <w:pPr>
                    <w:pStyle w:val="BodyText"/>
                  </w:pPr>
                  <w:pPr>
                    <w:pStyle w:val="ListParagraph"/>
                    <w:numPr>
                      <w:ilvl w:val="0"/>
                      <w:numId w:val="13"/>
                    </w:numPr>
                  </w:pPr>
                  <w:r>
                    <w:t xml:space="preserve">Insurance mediation activities – Swedish regulation covers various insurance brokering activities.</w:t>
                  </w:r>
                </w:p>
                <w:p>
                  <w:pPr>
                    <w:pStyle w:val="BodyText"/>
                  </w:pPr>
                  <w:pPr>
                    <w:pStyle w:val="ListParagraph"/>
                    <w:numPr>
                      <w:ilvl w:val="0"/>
                      <w:numId w:val="13"/>
                    </w:numPr>
                  </w:pPr>
                  <w:r>
                    <w:t xml:space="preserve">Discretionary investment management – Managing investments on behalf of another person is a regulated activity. Specific permission is required where a person carries on this activity in relation to an alternative investment fund.</w:t>
                  </w:r>
                </w:p>
                <w:p>
                  <w:pPr>
                    <w:pStyle w:val="BodyText"/>
                  </w:pPr>
                  <w:pPr>
                    <w:pStyle w:val="ListParagraph"/>
                    <w:numPr>
                      <w:ilvl w:val="0"/>
                      <w:numId w:val="13"/>
                    </w:numPr>
                  </w:pPr>
                  <w:r>
                    <w:t xml:space="preserve">Establishing, operating and winding up a collective investment scheme – Most types of funds will be regarded as collective investment schemes under Swedish law. This will extend to open-ended bodies corporate, unit trusts and partnerships.</w:t>
                  </w:r>
                </w:p>
                <w:p>
                  <w:pPr>
                    <w:pStyle w:val="BodyText"/>
                  </w:pPr>
                  <w:pPr>
                    <w:pStyle w:val="ListParagraph"/>
                    <w:numPr>
                      <w:ilvl w:val="0"/>
                      <w:numId w:val="13"/>
                    </w:numPr>
                  </w:pPr>
                  <w:r>
                    <w:t xml:space="preserve">Providing custody (safeguarding and administration of investments) – Providing custody services in relation to assets that include investments is a regulated activity.</w:t>
                  </w:r>
                </w:p>
                <w:p>
                  <w:pPr>
                    <w:pStyle w:val="BodyText"/>
                  </w:pPr>
                  <w:pPr>
                    <w:pStyle w:val="ListParagraph"/>
                    <w:numPr>
                      <w:ilvl w:val="0"/>
                      <w:numId w:val="13"/>
                    </w:numPr>
                  </w:pPr>
                  <w:r>
                    <w:t xml:space="preserve">Provision of pension foundation – Pension foundation is a foundation founded by an employer with the exclusive purpose of safeguarding the payment of pension to employees or employees’ survivors. The foundation’s assets must therefore be invested prudently.</w:t>
                  </w:r>
                </w:p>
                <w:p>
                  <w:pPr>
                    <w:pStyle w:val="BodyText"/>
                  </w:pPr>
                  <w:pPr>
                    <w:pStyle w:val="ListParagraph"/>
                    <w:numPr>
                      <w:ilvl w:val="0"/>
                      <w:numId w:val="13"/>
                    </w:numPr>
                  </w:pPr>
                  <w:r>
                    <w:t xml:space="preserve">Crypto-assets and crypto currencies - </w:t>
                  </w:r>
                  <w:r>
                    <w:t xml:space="preserve">As of now, there is no specific legal or regulatory regime tailored to crypto currencies and/or crypto-assets in Sweden. Depending on the nature of the crypto-assets and services, these may be included under other regimes in Sweden, such as, </w:t>
                  </w:r>
                  <w:r>
                    <w:rPr>
                      <w:i/>
                    </w:rPr>
                    <w:t xml:space="preserve">inter alia</w:t>
                  </w:r>
                  <w:r>
                    <w:t xml:space="preserve">, </w:t>
                  </w:r>
                  <w:r>
                    <w:t xml:space="preserve">Certain Financial Operations Reporting Duty Act, Electronic Money Act and Payment Services Act. Furthermore, </w:t>
                  </w:r>
                  <w:r>
                    <w:t xml:space="preserve">natural and legal persons who conducts cryptocurrency trading on a large scale or other financial operations are likely to be assessed as carrying out so called "other financial operations" and are likely to be deemed as financial institutions as defined in </w:t>
                  </w:r>
                  <w:r>
                    <w:t xml:space="preserve">Securities Market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an institution outside Sweden deals with a client or a counterparty located in Sweden, those activities will typically be subject to Swedish laws and regulations. The service provider will need to consider whether they are triggering a local Swedish licensing obligation and whether they are complying with Swedish marketing rules.</w:t>
                  </w:r>
                </w:p>
                <w:p>
                  <w:pPr>
                    <w:pStyle w:val="BodyText"/>
                  </w:pPr>
                  <w:r>
                    <w:t xml:space="preserve">In relation to marketing, Swedish laws regulate the issuance of “financial promotions,” which is defined as an “invitation or inducement” to engage in an investment activity. The decisive issue is whether or not a service is directed/offered to the Swedish market. Thus, if a service provider is approached by a client abroad on such client’s own initiative (reverse solicitation), it does not matter if the transactional documents are sent to the client’s address in Sweden. Correspondingly, if Swedish entities/persons are targeted via marketing or a webpage in Swedish, services will be seen as offered irrespective of whether any agreements are entered into in Sweden.</w:t>
                  </w:r>
                </w:p>
                <w:p>
                  <w:pPr>
                    <w:pStyle w:val="BodyText"/>
                  </w:pPr>
                  <w:r>
                    <w:t xml:space="preserve">Under European laws, institutions established outside the European Economic Area (EEA) are called “Third Country Firms” (TCF). Until recently, European laws have not sought to harmonize the approach of member states to TCFs. This has meant that access to the markets of member states had to be considered on a case-by-case basis. However, the trend in European legislation is now towards harmonizing the approach across all member states to TCFs. On the one hand, this approach is likely to create a barrier to entry to European markets. On the other hand, institutions who become compliant with new EU standards will be able to access the whole EEA market, as opposed to having to consider the market on a country-by-country basis.</w:t>
                  </w:r>
                </w:p>
                <w:p>
                  <w:pPr>
                    <w:pStyle w:val="BodyText"/>
                  </w:pPr>
                  <w:r>
                    <w:t xml:space="preserve">Certain exclusions are presently available under Swedish law, which enable TCFs to deal with clients based in Sweden. This is on the basis that the activities in question will be regarded as being carried on outside the territory of Sweden and therefore not subject to Swedish laws, or because a specific exemption will cover the activities.</w:t>
                  </w:r>
                </w:p>
                <w:p>
                  <w:pPr>
                    <w:pStyle w:val="BodyText"/>
                  </w:pPr>
                  <w:r>
                    <w:t xml:space="preserve">By way of example, the following activity is regarded as being carried on outside Sweden and therefore not subject to Swedish regulation (although providers of these services will still need to consider Swedish marketing restrictions):</w:t>
                  </w:r>
                </w:p>
                <w:p>
                  <w:pPr>
                    <w:pStyle w:val="BodyText"/>
                  </w:pPr>
                  <w:pPr>
                    <w:pStyle w:val="ListParagraph"/>
                    <w:numPr>
                      <w:ilvl w:val="0"/>
                      <w:numId w:val="12"/>
                    </w:numPr>
                  </w:pPr>
                  <w:r>
                    <w:t xml:space="preserve">The activity of accepting deposits is regarded as being carried on where the deposit funds are accepted. Where a Swedish person credits funds to a bank account held outside Sweden, the foreign bank where the individual holds the account will not be regarded as accepting deposits in Sweden. A Swedish resident can, therefore, hold an account with an offshore bank without the bank contravening Swedish laws, provided that the client relationship was established on the basis of reverse solicitation. Some financial promotion rules, which impose some limitations on marketing offshore bank accounts to Swedish customers, will apply to this activity.</w:t>
                  </w:r>
                </w:p>
                <w:p>
                  <w:pPr>
                    <w:pStyle w:val="BodyText"/>
                  </w:pPr>
                  <w:r>
                    <w:t xml:space="preserve">In other cases, the activities might be deemed to be carried on in Sweden and subject to Swedish laws.</w:t>
                  </w:r>
                </w:p>
                <w:p>
                  <w:pPr>
                    <w:pStyle w:val="BodyText"/>
                  </w:pPr>
                  <w:r>
                    <w:t xml:space="preserve">Some EU legislation, particularly the following, will limit the ability of foreign institutions to do business in Sweden:</w:t>
                  </w:r>
                </w:p>
                <w:p>
                  <w:pPr>
                    <w:pStyle w:val="BodyText"/>
                  </w:pPr>
                  <w:pPr>
                    <w:pStyle w:val="ListParagraph"/>
                    <w:numPr>
                      <w:ilvl w:val="0"/>
                      <w:numId w:val="12"/>
                    </w:numPr>
                  </w:pPr>
                  <w:r>
                    <w:t xml:space="preserve">The Alternative Investment Fund Managers Directive imposes limitations on non-EEA persons marketing fund interests to persons in Sweden (and other European jurisdictions).</w:t>
                  </w:r>
                </w:p>
                <w:p>
                  <w:pPr>
                    <w:pStyle w:val="BodyText"/>
                  </w:pPr>
                  <w:pPr>
                    <w:pStyle w:val="ListParagraph"/>
                    <w:numPr>
                      <w:ilvl w:val="0"/>
                      <w:numId w:val="12"/>
                    </w:numPr>
                  </w:pPr>
                  <w:r>
                    <w:t xml:space="preserve">MiFID II (comprising a recast of the Markets in Financial Instruments Directive and a European regulation), entails greater restrictions on TCFs conducting business in Sweden.</w:t>
                  </w:r>
                </w:p>
                <w:p>
                  <w:pPr>
                    <w:pStyle w:val="BodyText"/>
                  </w:pPr>
                  <w:pPr>
                    <w:pStyle w:val="ListParagraph"/>
                    <w:numPr>
                      <w:ilvl w:val="0"/>
                      <w:numId w:val="12"/>
                    </w:numPr>
                  </w:pPr>
                  <w:r>
                    <w:t xml:space="preserve">Regulation (EU) No 1286/2014 on key information documents for packaged retail and insurance-based investment products (PRIIPs) entails certain requirements and obligations for insurance providers as regards to distribution of insurance products and services in Sweden.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become authorized, an applicant must satisfy the SFSA that it meets the requirements for authorization set out in the relevant applicable act(s) and SFSA regulations.</w:t>
                  </w:r>
                </w:p>
                <w:p>
                  <w:pPr>
                    <w:pStyle w:val="BodyText"/>
                  </w:pPr>
                  <w:r>
                    <w:t xml:space="preserve">The requirements for authorization can vary, depending on the particular regulated activities that the applicant intends to carry on. Broadly, however, the following conditions will need to be satisfied:</w:t>
                  </w:r>
                </w:p>
                <w:p>
                  <w:pPr>
                    <w:pStyle w:val="BodyText"/>
                  </w:pPr>
                  <w:pPr>
                    <w:pStyle w:val="ListParagraph"/>
                    <w:numPr>
                      <w:ilvl w:val="0"/>
                      <w:numId w:val="11"/>
                    </w:numPr>
                  </w:pPr>
                  <w:r>
                    <w:rPr>
                      <w:color w:val="EE3135"/>
                    </w:rPr>
                    <w:t xml:space="preserve">Location of offices/residence of directors</w:t>
                  </w:r>
                  <w:r>
                    <w:t xml:space="preserve"> - For Swedish incorporated companies, the head office must be located in Sweden. As to the composition of the board of directors, a majority of the board and the managing director will need to be resident in the EEA.</w:t>
                  </w:r>
                </w:p>
                <w:p>
                  <w:pPr>
                    <w:pStyle w:val="BodyText"/>
                  </w:pPr>
                  <w:pPr>
                    <w:pStyle w:val="ListParagraph"/>
                    <w:numPr>
                      <w:ilvl w:val="0"/>
                      <w:numId w:val="11"/>
                    </w:numPr>
                  </w:pPr>
                  <w:r>
                    <w:rPr>
                      <w:color w:val="EE3135"/>
                    </w:rPr>
                    <w:t xml:space="preserve">Effective</w:t>
                  </w:r>
                  <w:r>
                    <w:t xml:space="preserve"> </w:t>
                  </w:r>
                  <w:r>
                    <w:rPr>
                      <w:color w:val="EE3135"/>
                    </w:rPr>
                    <w:t xml:space="preserve">Supervision</w:t>
                  </w:r>
                  <w:r>
                    <w:t xml:space="preserve"> - The applicant must be capable of being effectively supervised. This emphasizes the need for institutions to have a substantive presence in Sweden that is accessible to Swedish regulators and enables the regulator to supervise the institution. The regulator will also consider whether there are any impediments to supervision of the applicant, including the group structure and any relevant laws restricting access to information.</w:t>
                  </w:r>
                </w:p>
                <w:p>
                  <w:pPr>
                    <w:pStyle w:val="BodyText"/>
                  </w:pPr>
                  <w:pPr>
                    <w:pStyle w:val="ListParagraph"/>
                    <w:numPr>
                      <w:ilvl w:val="0"/>
                      <w:numId w:val="11"/>
                    </w:numPr>
                  </w:pPr>
                  <w:r>
                    <w:rPr>
                      <w:color w:val="EE3135"/>
                    </w:rPr>
                    <w:t xml:space="preserve">Appropriate</w:t>
                  </w:r>
                  <w:r>
                    <w:t xml:space="preserve"> </w:t>
                  </w:r>
                  <w:r>
                    <w:rPr>
                      <w:color w:val="EE3135"/>
                    </w:rPr>
                    <w:t xml:space="preserve">resources</w:t>
                  </w:r>
                  <w:r>
                    <w:t xml:space="preserve"> - Applicants must satisfy the regulator that they have adequate resources to carry on the relevant regulated activities. Resources include financial as well as human resources (including management with the required skills) and infrastructure.</w:t>
                  </w:r>
                </w:p>
                <w:p>
                  <w:pPr>
                    <w:pStyle w:val="BodyText"/>
                  </w:pPr>
                  <w:pPr>
                    <w:pStyle w:val="ListParagraph"/>
                    <w:numPr>
                      <w:ilvl w:val="0"/>
                      <w:numId w:val="11"/>
                    </w:numPr>
                  </w:pPr>
                  <w:r>
                    <w:rPr>
                      <w:color w:val="EE3135"/>
                    </w:rPr>
                    <w:t xml:space="preserve">Suitability</w:t>
                  </w:r>
                  <w:r>
                    <w:t xml:space="preserve"> - Applicants must be fit and proper to be authorized, having regard to all the circumstances.</w:t>
                  </w:r>
                </w:p>
                <w:p>
                  <w:pPr>
                    <w:pStyle w:val="BodyText"/>
                  </w:pPr>
                  <w:pPr>
                    <w:pStyle w:val="ListParagraph"/>
                    <w:numPr>
                      <w:ilvl w:val="0"/>
                      <w:numId w:val="11"/>
                    </w:numPr>
                  </w:pPr>
                  <w:r>
                    <w:rPr>
                      <w:color w:val="FF0000"/>
                    </w:rPr>
                    <w:t xml:space="preserve">Business </w:t>
                  </w:r>
                  <w:r>
                    <w:rPr>
                      <w:color w:val="EE3135"/>
                    </w:rPr>
                    <w:t xml:space="preserve">model</w:t>
                  </w:r>
                  <w:r>
                    <w:t xml:space="preserve"> - The regulator will examine the applicant’s business model. In addition to understanding the economic aspects of the business, matters such as the impact of the model on clients and that the planned operations will be conducted under the applicable regulations will be regarded.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must complete a formal process to obtain authorization, involving the completion of required application forms and the submission of supporting information.</w:t>
                  </w:r>
                </w:p>
                <w:p>
                  <w:pPr>
                    <w:pStyle w:val="BodyText"/>
                  </w:pPr>
                  <w:r>
                    <w:t xml:space="preserve">In relation to timing, the regulator will, in most cases, have approximately three to five months from receipt of a completed application in which to decide whether to approve the application or not.</w:t>
                  </w:r>
                </w:p>
                <w:p>
                  <w:pPr>
                    <w:pStyle w:val="BodyText"/>
                  </w:pPr>
                  <w:r>
                    <w:t xml:space="preserve">The forms required for authorization vary depending on the particular regulated activities that the applicant intends to carry on. Broadly, however, the following forms will be required to be completed:</w:t>
                  </w:r>
                </w:p>
                <w:p>
                  <w:pPr>
                    <w:pStyle w:val="BodyText"/>
                  </w:pPr>
                  <w:pPr>
                    <w:pStyle w:val="ListParagraph"/>
                    <w:numPr>
                      <w:ilvl w:val="0"/>
                      <w:numId w:val="10"/>
                    </w:numPr>
                  </w:pPr>
                  <w:r>
                    <w:rPr>
                      <w:color w:val="EE3135"/>
                    </w:rPr>
                    <w:t xml:space="preserve">Core details </w:t>
                  </w:r>
                  <w:r>
                    <w:t xml:space="preserve">- This form sets out factual background information relating to the applicant.</w:t>
                  </w:r>
                </w:p>
                <w:p>
                  <w:pPr>
                    <w:pStyle w:val="BodyText"/>
                  </w:pPr>
                  <w:pPr>
                    <w:pStyle w:val="ListParagraph"/>
                    <w:numPr>
                      <w:ilvl w:val="0"/>
                      <w:numId w:val="10"/>
                    </w:numPr>
                  </w:pPr>
                  <w:r>
                    <w:rPr>
                      <w:color w:val="EE3135"/>
                    </w:rPr>
                    <w:t xml:space="preserve">The</w:t>
                  </w:r>
                  <w:r>
                    <w:t xml:space="preserve"> </w:t>
                  </w:r>
                  <w:r>
                    <w:rPr>
                      <w:color w:val="EE3135"/>
                    </w:rPr>
                    <w:t xml:space="preserve">Supplements</w:t>
                  </w:r>
                  <w:r>
                    <w:t xml:space="preserve"> - The Supplements will require the institution to provide details of its Regulatory Business Plan and Internal Guidelines, the regulated activities it will perform, its financial resources, its personnel, its compliance arrangements, and its fees/levies.</w:t>
                  </w:r>
                </w:p>
                <w:p>
                  <w:pPr>
                    <w:pStyle w:val="BodyText"/>
                  </w:pPr>
                  <w:pPr>
                    <w:pStyle w:val="ListParagraph"/>
                    <w:numPr>
                      <w:ilvl w:val="0"/>
                      <w:numId w:val="10"/>
                    </w:numPr>
                  </w:pPr>
                  <w:r>
                    <w:rPr>
                      <w:color w:val="EE3135"/>
                    </w:rPr>
                    <w:t xml:space="preserve">Ownership</w:t>
                  </w:r>
                  <w:r>
                    <w:t xml:space="preserve"> </w:t>
                  </w:r>
                  <w:r>
                    <w:rPr>
                      <w:color w:val="EE3135"/>
                    </w:rPr>
                    <w:t xml:space="preserve">assessment</w:t>
                  </w:r>
                  <w:r>
                    <w:t xml:space="preserve"> - Details about individuals/entities who control or exert influence over the institution, which will enable the regulator to assess their roles, must be submitted.</w:t>
                  </w:r>
                </w:p>
                <w:p>
                  <w:pPr>
                    <w:pStyle w:val="BodyText"/>
                  </w:pPr>
                  <w:pPr>
                    <w:pStyle w:val="ListParagraph"/>
                    <w:numPr>
                      <w:ilvl w:val="0"/>
                      <w:numId w:val="10"/>
                    </w:numPr>
                  </w:pPr>
                  <w:r>
                    <w:rPr>
                      <w:color w:val="EE3135"/>
                    </w:rPr>
                    <w:t xml:space="preserve">Management</w:t>
                  </w:r>
                  <w:r>
                    <w:t xml:space="preserve"> </w:t>
                  </w:r>
                  <w:r>
                    <w:rPr>
                      <w:color w:val="EE3135"/>
                    </w:rPr>
                    <w:t xml:space="preserve">assessment</w:t>
                  </w:r>
                  <w:r>
                    <w:t xml:space="preserve"> - Details about certain individuals in management positions must be submitted. They will need to submit forms providing information about themselves, which will enable the regulator to assess their fitness and propriety to perform their roles.</w:t>
                  </w:r>
                </w:p>
                <w:p>
                  <w:pPr>
                    <w:pStyle w:val="BodyText"/>
                  </w:pPr>
                  <w:pPr>
                    <w:pStyle w:val="ListParagraph"/>
                    <w:numPr>
                      <w:ilvl w:val="0"/>
                      <w:numId w:val="10"/>
                    </w:numPr>
                  </w:pPr>
                  <w:r>
                    <w:rPr>
                      <w:color w:val="EE3135"/>
                    </w:rPr>
                    <w:t xml:space="preserve">Financial</w:t>
                  </w:r>
                  <w:r>
                    <w:t xml:space="preserve"> </w:t>
                  </w:r>
                  <w:r>
                    <w:rPr>
                      <w:color w:val="EE3135"/>
                    </w:rPr>
                    <w:t xml:space="preserve">statements</w:t>
                  </w:r>
                  <w:r>
                    <w:t xml:space="preserve"> </w:t>
                  </w:r>
                  <w:r>
                    <w:rPr>
                      <w:color w:val="EE3135"/>
                    </w:rPr>
                    <w:t xml:space="preserve">and</w:t>
                  </w:r>
                  <w:r>
                    <w:t xml:space="preserve"> </w:t>
                  </w:r>
                  <w:r>
                    <w:rPr>
                      <w:color w:val="EE3135"/>
                    </w:rPr>
                    <w:t xml:space="preserve">projections</w:t>
                  </w:r>
                  <w:r>
                    <w:t xml:space="preserve"> - Information on the applicant’s financials along with projections must be submitted.</w:t>
                  </w:r>
                </w:p>
                <w:p>
                  <w:pPr>
                    <w:pStyle w:val="BodyText"/>
                  </w:pPr>
                  <w:pPr>
                    <w:pStyle w:val="ListParagraph"/>
                    <w:numPr>
                      <w:ilvl w:val="0"/>
                      <w:numId w:val="10"/>
                    </w:numPr>
                  </w:pPr>
                  <w:r>
                    <w:rPr>
                      <w:color w:val="EE3135"/>
                    </w:rPr>
                    <w:t xml:space="preserve">Outsourcing</w:t>
                  </w:r>
                  <w:r>
                    <w:t xml:space="preserve"> </w:t>
                  </w:r>
                  <w:r>
                    <w:rPr>
                      <w:color w:val="EE3135"/>
                    </w:rPr>
                    <w:t xml:space="preserve">agreements</w:t>
                  </w:r>
                  <w:r>
                    <w:t xml:space="preserve"> - Certain outsourcing agreements (e.g., risk management and compliance functions) must be submitted and registered with the SFSA.</w:t>
                  </w:r>
                </w:p>
                <w:p>
                  <w:pPr>
                    <w:pStyle w:val="BodyText"/>
                  </w:pPr>
                  <w:pPr>
                    <w:pStyle w:val="ListParagraph"/>
                    <w:numPr>
                      <w:ilvl w:val="0"/>
                      <w:numId w:val="10"/>
                    </w:numPr>
                  </w:pPr>
                  <w:r>
                    <w:rPr>
                      <w:color w:val="EE3135"/>
                    </w:rPr>
                    <w:t xml:space="preserve">Supporting</w:t>
                  </w:r>
                  <w:r>
                    <w:t xml:space="preserve"> </w:t>
                  </w:r>
                  <w:r>
                    <w:rPr>
                      <w:color w:val="EE3135"/>
                    </w:rPr>
                    <w:t xml:space="preserve">documents</w:t>
                  </w:r>
                  <w:r>
                    <w:t xml:space="preserve"> - Various documents must be submitted with the application (e.g., articles of association for approval by the SFSA and relevant board minutes).</w:t>
                  </w:r>
                </w:p>
                <w:p>
                  <w:pPr>
                    <w:pStyle w:val="BodyText"/>
                  </w:pPr>
                  <w:r>
                    <w:t xml:space="preserve">Moreover, other information that the applicant and the SFSA deems necessary for the application to be complete must be submitted. Please note that, as of now, there are no special procedures for fintechs and so called "sandboxes" for technologically innovative new services.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Once authorized in Sweden, a Swedish institution can generally passport its authorization into other EEA member states. This passport is, however, only available to institutions established in Sweden and will not be available to EEA branches of TCFs. Passporting permits the provision of cross-border services and also the establishment of a physical branch location.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22"/>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