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 Stockholm</w:t>
      </w:r>
      <w:r w:rsidR="00480329"/>
    </w:p>
    <w:p w:rsidRPr="00BC7873" w:rsidR="00BC7873" w:rsidP="00D354EF" w:rsidRDefault="00051AB4" w14:paraId="2476CC56" w14:textId="2FB25FA9">
      <w:pPr>
        <w:pStyle w:val="Title"/>
      </w:pPr>
      <w:r w:rsidRPr="00BC7873">
        <w:t>Additional Information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Additional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has from time to time been used as a secondary market by issuers who wish to list on more than one marketplace. The main market will normally be the main or home market and the supervision of the issuer will be the main responsibility of that exchange. Still, the secondary market and its rules will apply to the issuer. Violations will be reported to the main market for disciplinary measures. Nasdaq Stockholm and the Trading Act set the rules for secondary market listings.</w:t>
              </w:r>
            </w:p>
            <w:p>
              <w:pPr>
                <w:pStyle w:val="BodyText"/>
              </w:pPr>
              <w:r>
                <w:t xml:space="preserve">With respect to takeover bids, prior to the launch of a bid for shares in an issuer listed on Nasdaq Stockholm, the bidder must enter into an agreement with the exchange to follow the takeover rules set out in the Swedish Stock Market (Takeover Bids) Act (</w:t>
              </w:r>
              <w:r>
                <w:rPr>
                  <w:i/>
                </w:rPr>
                <w:t xml:space="preserve">lag (2006:451) om offentliga uppköpserbjudanden på aktiemarknaden</w:t>
              </w:r>
              <w:r>
                <w:t xml:space="preserve">). In addition, the bidder must comply with the rules concerning takeover bids on the stock market issued by Nasdaq Stockholm and forming part of the Rule Book.</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