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 Stockholm</w:t>
      </w:r>
      <w:r w:rsidR="00480329"/>
    </w:p>
    <w:p w:rsidRPr="00BC7873" w:rsidR="00BC7873" w:rsidP="00D354EF" w:rsidRDefault="00051AB4" w14:paraId="2476CC56" w14:textId="2FB25FA9">
      <w:pPr>
        <w:pStyle w:val="Title"/>
      </w:pPr>
      <w:r w:rsidRPr="00BC7873">
        <w:t>Presence in the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Presence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Stockholm does not impose any requirements for a foreign listed issuer to maintain a presence in Sweden or keep any original records there.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