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Data and Cyber Handbook Lite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&amp; Cyber Contacts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Key Data and Cybersecurity Laws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data privacy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17 January 2025</w:t>
                  </w:r>
                </w:p>
                <w:p>
                  <w:pPr>
                    <w:pStyle w:val="BodyText"/>
                  </w:pPr>
                  <w:pPr>
                    <w:pStyle w:val="ListParagraph"/>
                    <w:numPr>
                      <w:ilvl w:val="0"/>
                      <w:numId w:val="12"/>
                    </w:numPr>
                  </w:pPr>
                  <w:hyperlink w:history="true" r:id="R044d357091744eca">
                    <w:r>
                      <w:rPr>
                        <w:rStyle w:val="Hyperlink"/>
                      </w:rPr>
                      <w:t xml:space="preserve">Act on the Protection of Personal Information</w:t>
                    </w:r>
                  </w:hyperlink>
                  <w:r>
                    <w:t xml:space="preserve"> (APPI)</w:t>
                  </w:r>
                </w:p>
                <w:p>
                  <w:pPr>
                    <w:pStyle w:val="BodyText"/>
                  </w:pPr>
                  <w:pPr>
                    <w:pStyle w:val="ListParagraph"/>
                    <w:numPr>
                      <w:ilvl w:val="0"/>
                      <w:numId w:val="12"/>
                    </w:numPr>
                  </w:pPr>
                  <w:hyperlink w:history="true" r:id="Re19c08aacf6b4bb0">
                    <w:r>
                      <w:rPr>
                        <w:rStyle w:val="Hyperlink"/>
                      </w:rPr>
                      <w:t xml:space="preserve">Basic Policy for protecting Personal Information</w:t>
                    </w:r>
                  </w:hyperlink>
                </w:p>
                <w:p>
                  <w:pPr>
                    <w:pStyle w:val="BodyText"/>
                  </w:pPr>
                  <w:pPr>
                    <w:pStyle w:val="ListParagraph"/>
                    <w:numPr>
                      <w:ilvl w:val="0"/>
                      <w:numId w:val="12"/>
                    </w:numPr>
                  </w:pPr>
                  <w:hyperlink w:history="true" r:id="R6f20dd39e8804c7f">
                    <w:r>
                      <w:rPr>
                        <w:rStyle w:val="Hyperlink"/>
                      </w:rPr>
                      <w:t xml:space="preserve">Enforcement Regulation of APPI</w:t>
                    </w:r>
                  </w:hyperlink>
                </w:p>
                <w:p>
                  <w:pPr>
                    <w:pStyle w:val="BodyText"/>
                  </w:pPr>
                  <w:pPr>
                    <w:pStyle w:val="ListParagraph"/>
                    <w:numPr>
                      <w:ilvl w:val="0"/>
                      <w:numId w:val="12"/>
                    </w:numPr>
                  </w:pPr>
                  <w:hyperlink w:history="true" r:id="R033f65cff76a47b2">
                    <w:r>
                      <w:rPr>
                        <w:rStyle w:val="Hyperlink"/>
                      </w:rPr>
                      <w:t xml:space="preserve">Enforcement Order of APPI</w:t>
                    </w:r>
                  </w:hyperlink>
                </w:p>
                <w:p>
                  <w:pPr>
                    <w:pStyle w:val="BodyText"/>
                  </w:pPr>
                  <w:pPr>
                    <w:pStyle w:val="ListParagraph"/>
                    <w:numPr>
                      <w:ilvl w:val="0"/>
                      <w:numId w:val="12"/>
                    </w:numPr>
                  </w:pPr>
                  <w:hyperlink w:history="true" r:id="R184f64c338664f82">
                    <w:r>
                      <w:rPr>
                        <w:rStyle w:val="Hyperlink"/>
                      </w:rPr>
                      <w:t xml:space="preserve">Guidelines on the Act on the Protection of Personal Information: General Rules</w:t>
                    </w:r>
                  </w:hyperlink>
                </w:p>
                <w:p>
                  <w:pPr>
                    <w:pStyle w:val="BodyText"/>
                  </w:pPr>
                  <w:pPr>
                    <w:pStyle w:val="ListParagraph"/>
                    <w:numPr>
                      <w:ilvl w:val="0"/>
                      <w:numId w:val="12"/>
                    </w:numPr>
                  </w:pPr>
                  <w:hyperlink w:history="true" r:id="Ra841f7c6fc064d4c">
                    <w:r>
                      <w:rPr>
                        <w:rStyle w:val="Hyperlink"/>
                      </w:rPr>
                      <w:t xml:space="preserve">Guidelines on the Act on the Protection of Personal Information: Transfer to Overseas Third Party</w:t>
                    </w:r>
                  </w:hyperlink>
                </w:p>
                <w:p>
                  <w:pPr>
                    <w:pStyle w:val="BodyText"/>
                  </w:pPr>
                  <w:pPr>
                    <w:pStyle w:val="ListParagraph"/>
                    <w:numPr>
                      <w:ilvl w:val="0"/>
                      <w:numId w:val="12"/>
                    </w:numPr>
                  </w:pPr>
                  <w:hyperlink w:history="true" r:id="R6e47f9f0dca247e4">
                    <w:r>
                      <w:rPr>
                        <w:rStyle w:val="Hyperlink"/>
                      </w:rPr>
                      <w:t xml:space="preserve">Guidelines on the Act on the Protection of Personal Information: Confirmation and Record-keeping Obligations for Third Party Transfer</w:t>
                    </w:r>
                  </w:hyperlink>
                </w:p>
                <w:p>
                  <w:pPr>
                    <w:pStyle w:val="BodyText"/>
                  </w:pPr>
                  <w:pPr>
                    <w:pStyle w:val="ListParagraph"/>
                    <w:numPr>
                      <w:ilvl w:val="0"/>
                      <w:numId w:val="12"/>
                    </w:numPr>
                  </w:pPr>
                  <w:hyperlink w:history="true" r:id="Rb1309666aa944150">
                    <w:r>
                      <w:rPr>
                        <w:rStyle w:val="Hyperlink"/>
                      </w:rPr>
                      <w:t xml:space="preserve">Guidelines on the Act on the Protection of Personal Information: Anonymized Information</w:t>
                    </w:r>
                  </w:hyperlink>
                </w:p>
                <w:p>
                  <w:pPr>
                    <w:pStyle w:val="BodyText"/>
                  </w:pPr>
                  <w:pPr>
                    <w:pStyle w:val="ListParagraph"/>
                    <w:numPr>
                      <w:ilvl w:val="0"/>
                      <w:numId w:val="12"/>
                    </w:numPr>
                  </w:pPr>
                  <w:hyperlink w:history="true" r:id="Rc7518361a15f4b7c">
                    <w:r>
                      <w:rPr>
                        <w:rStyle w:val="Hyperlink"/>
                      </w:rPr>
                      <w:t xml:space="preserve">Public Notice on the Act on the Protection of Personal Information: Actions after Data Breach</w:t>
                    </w:r>
                  </w:hyperlink>
                </w:p>
                <w:p>
                  <w:pPr>
                    <w:pStyle w:val="BodyText"/>
                  </w:pPr>
                  <w:pPr>
                    <w:pStyle w:val="ListParagraph"/>
                    <w:numPr>
                      <w:ilvl w:val="0"/>
                      <w:numId w:val="12"/>
                    </w:numPr>
                  </w:pPr>
                  <w:hyperlink w:history="true" r:id="R256084f868314cc3">
                    <w:r>
                      <w:rPr>
                        <w:rStyle w:val="Hyperlink"/>
                      </w:rPr>
                      <w:t xml:space="preserve">Supplementary Rules under the Act on the Protection of Personal Information for Handling of Personal Data Transferred from the EU based on an Adequacy Decision</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cybersecurity laws and regulations?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17 January 2025</w:t>
                  </w:r>
                </w:p>
                <w:p>
                  <w:pPr>
                    <w:pStyle w:val="BodyText"/>
                  </w:pPr>
                  <w:pPr>
                    <w:pStyle w:val="ListParagraph"/>
                    <w:numPr>
                      <w:ilvl w:val="0"/>
                      <w:numId w:val="11"/>
                    </w:numPr>
                  </w:pPr>
                  <w:r>
                    <w:t xml:space="preserve">The Basic Act on Cybersecurity</w:t>
                  </w:r>
                </w:p>
                <w:p>
                  <w:pPr>
                    <w:pStyle w:val="BodyText"/>
                  </w:pPr>
                  <w:pPr>
                    <w:pStyle w:val="ListParagraph"/>
                    <w:numPr>
                      <w:ilvl w:val="0"/>
                      <w:numId w:val="11"/>
                    </w:numPr>
                  </w:pPr>
                  <w:r>
                    <w:t xml:space="preserve">Telecommunications Business Act</w:t>
                  </w:r>
                </w:p>
                <w:p>
                  <w:pPr>
                    <w:pStyle w:val="BodyText"/>
                  </w:pPr>
                  <w:pPr>
                    <w:pStyle w:val="ListParagraph"/>
                    <w:numPr>
                      <w:ilvl w:val="0"/>
                      <w:numId w:val="11"/>
                    </w:numPr>
                  </w:pPr>
                  <w:r>
                    <w:t xml:space="preserve">Act on Prohibition of Unauthorized Computer Access</w:t>
                  </w:r>
                </w:p>
                <w:p>
                  <w:pPr>
                    <w:pStyle w:val="BodyText"/>
                  </w:pPr>
                  <w:pPr>
                    <w:pStyle w:val="ListParagraph"/>
                    <w:numPr>
                      <w:ilvl w:val="0"/>
                      <w:numId w:val="11"/>
                    </w:numPr>
                  </w:pPr>
                  <w:r>
                    <w:t xml:space="preserve">Act on the Development of Infrastructure for Ensuring Cybersecurity and Implementing Active Cyber Defense</w:t>
                  </w:r>
                </w:p>
                <w:p>
                  <w:pPr>
                    <w:pStyle w:val="BodyText"/>
                  </w:pPr>
                  <w:pPr>
                    <w:pStyle w:val="ListParagraph"/>
                    <w:numPr>
                      <w:ilvl w:val="0"/>
                      <w:numId w:val="11"/>
                    </w:numPr>
                  </w:pPr>
                  <w:r>
                    <w:t xml:space="preserve">Economic Security Promotion Act</w:t>
                  </w:r>
                </w:p>
                <w:p>
                  <w:pPr>
                    <w:pStyle w:val="BodyText"/>
                  </w:pPr>
                  <w:pPr>
                    <w:pStyle w:val="ListParagraph"/>
                    <w:numPr>
                      <w:ilvl w:val="0"/>
                      <w:numId w:val="11"/>
                    </w:numPr>
                  </w:pPr>
                  <w:r>
                    <w:t xml:space="preserve">Act on the Protection and Utilization of Critical Economic Security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laws and regulations relating to non-personal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17 January 2025</w:t>
                  </w:r>
                </w:p>
                <w:p>
                  <w:pPr>
                    <w:pStyle w:val="BodyText"/>
                  </w:pPr>
                  <w:r>
                    <w:t xml:space="preserve">There are no specific laws or regulations governing the collection, processing, transfer and other activities related to non-personal data in Japan. However, restrictions on the handling of non-personal data may be imposed under the security clearance systems established by the following laws.:</w:t>
                  </w:r>
                </w:p>
                <w:p>
                  <w:pPr>
                    <w:pStyle w:val="BodyText"/>
                  </w:pPr>
                  <w:pPr>
                    <w:pStyle w:val="ListParagraph"/>
                    <w:numPr>
                      <w:ilvl w:val="0"/>
                      <w:numId w:val="10"/>
                    </w:numPr>
                  </w:pPr>
                  <w:r>
                    <w:t xml:space="preserve">Act on the Protection and Utilization of Critical Economic Security Information</w:t>
                  </w:r>
                </w:p>
                <w:p>
                  <w:pPr>
                    <w:pStyle w:val="BodyText"/>
                  </w:pPr>
                  <w:pPr>
                    <w:pStyle w:val="ListParagraph"/>
                    <w:numPr>
                      <w:ilvl w:val="0"/>
                      <w:numId w:val="10"/>
                    </w:numPr>
                  </w:pPr>
                  <w:r>
                    <w:t xml:space="preserve">The Act on the Protection of Specially Designated Secrets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Regulators, Remedies and Penalties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potential penalties/remedies for non-compliance with the key data and cybersecurity laws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17 January 2025</w:t>
                  </w:r>
                </w:p>
                <w:p>
                  <w:pPr>
                    <w:pStyle w:val="BodyText"/>
                  </w:pPr>
                  <w:r>
                    <w:rPr>
                      <w:b/>
                    </w:rPr>
                    <w:t xml:space="preserve">Data</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p>
                  <w:pPr>
                    <w:pStyle w:val="BodyText"/>
                  </w:pPr>
                  <w:r>
                    <w:rPr>
                      <w:b/>
                    </w:rPr>
                    <w:t xml:space="preserve">Cyber</w:t>
                  </w:r>
                </w:p>
                <w:p>
                  <w:pPr>
                    <w:pStyle w:val="BodyText"/>
                  </w:pPr>
                  <w:r>
                    <w:t xml:space="preserve">☒ Administrative remedies/civil penalties applied by regulators and law enforcement</w:t>
                  </w:r>
                  <w:r>
                    <w:br/>
                  </w:r>
                  <w:r>
                    <w:t xml:space="preserve">☐ Criminal penalties from regulators and law enforcement</w:t>
                  </w:r>
                  <w:r>
                    <w:br/>
                  </w:r>
                  <w:r>
                    <w:t xml:space="preserve">☐ Private remedies</w:t>
                  </w:r>
                  <w:r>
                    <w:br/>
                  </w:r>
                  <w:r>
                    <w:t xml:space="preserve">☐ Other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Territorial Scope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territorial reach of the data privacy and cybersecurity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Last review date: 17 January 2025</w:t>
                  </w:r>
                </w:p>
                <w:p>
                  <w:pPr>
                    <w:pStyle w:val="BodyText"/>
                  </w:pPr>
                  <w:r>
                    <w:rPr>
                      <w:b/>
                    </w:rPr>
                    <w:t xml:space="preserve">Data</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in specific circumstances, e.g., offering goods or services to and/or monitoring behavior of data subjects in the jurisdiction</w:t>
                  </w:r>
                </w:p>
                <w:p>
                  <w:pPr>
                    <w:pStyle w:val="BodyText"/>
                  </w:pPr>
                  <w:r>
                    <w:t xml:space="preserve">☐ No express territorial scope, but would require some nexus to the jurisdiction</w:t>
                  </w:r>
                </w:p>
                <w:p>
                  <w:pPr>
                    <w:pStyle w:val="BodyText"/>
                  </w:pPr>
                  <w:r>
                    <w:t xml:space="preserve">☐ Other</w:t>
                  </w:r>
                </w:p>
                <w:p>
                  <w:pPr>
                    <w:pStyle w:val="BodyText"/>
                  </w:pPr>
                  <w:r>
                    <w:rPr>
                      <w:b/>
                    </w:rPr>
                    <w:t xml:space="preserve">Cyber</w:t>
                  </w:r>
                </w:p>
                <w:p>
                  <w:pPr>
                    <w:pStyle w:val="BodyText"/>
                  </w:pPr>
                  <w:r>
                    <w:t xml:space="preserve">☒ Applies </w:t>
                  </w:r>
                  <w:r>
                    <w:rPr>
                      <w:u w:val="single"/>
                    </w:rPr>
                    <w:t xml:space="preserve">only</w:t>
                  </w:r>
                  <w:r>
                    <w:t xml:space="preserve"> to organizations located in the jurisdiction</w:t>
                  </w:r>
                </w:p>
                <w:p>
                  <w:pPr>
                    <w:pStyle w:val="BodyText"/>
                  </w:pPr>
                  <w:r>
                    <w:t xml:space="preserve">☐ Applies to organizations located outside of the jurisdiction in specific circumstances e.g., offering goods or services to and/or monitoring behavior of data subjects in the jurisdiction</w:t>
                  </w:r>
                </w:p>
                <w:p>
                  <w:pPr>
                    <w:pStyle w:val="BodyText"/>
                  </w:pPr>
                  <w:r>
                    <w:t xml:space="preserve">☐ No express territorial scope, but would require some nexus to the jurisdiction</w:t>
                  </w:r>
                </w:p>
                <w:p>
                  <w:pPr>
                    <w:pStyle w:val="BodyText"/>
                  </w:pPr>
                  <w:r>
                    <w:t xml:space="preserve">☐ Other</w:t>
                  </w:r>
                </w:p>
              </w:sdtContent>
            </w:sdt>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laws.e-gov.go.jp/search/elawsSearch/elaws_search/lsg0500/detail?lawId=415AC0000000057" TargetMode="External" Id="R044d357091744eca" /><Relationship Type="http://schemas.openxmlformats.org/officeDocument/2006/relationships/hyperlink" Target="https://www.ppc.go.jp/personalinfo/legal/fundamental_policy/" TargetMode="External" Id="Re19c08aacf6b4bb0" /><Relationship Type="http://schemas.openxmlformats.org/officeDocument/2006/relationships/hyperlink" Target="https://elaws.e-gov.go.jp/search/elawsSearch/elaws_search/lsg0500/detail?lawId=428M60000000003" TargetMode="External" Id="R6f20dd39e8804c7f" /><Relationship Type="http://schemas.openxmlformats.org/officeDocument/2006/relationships/hyperlink" Target="https://elaws.e-gov.go.jp/search/elawsSearch/elaws_search/lsg0500/detail?lawId=415CO0000000507" TargetMode="External" Id="R033f65cff76a47b2" /><Relationship Type="http://schemas.openxmlformats.org/officeDocument/2006/relationships/hyperlink" Target="https://www.ppc.go.jp/personalinfo/legal/guidelines_tsusoku/" TargetMode="External" Id="R184f64c338664f82" /><Relationship Type="http://schemas.openxmlformats.org/officeDocument/2006/relationships/hyperlink" Target="https://www.ppc.go.jp/personalinfo/legal/guidelines_offshore/" TargetMode="External" Id="Ra841f7c6fc064d4c" /><Relationship Type="http://schemas.openxmlformats.org/officeDocument/2006/relationships/hyperlink" Target="https://www.ppc.go.jp/personalinfo/legal/guidelines_thirdparty/" TargetMode="External" Id="R6e47f9f0dca247e4" /><Relationship Type="http://schemas.openxmlformats.org/officeDocument/2006/relationships/hyperlink" Target="https://www.ppc.go.jp/personalinfo/legal/guidelines_anonymous/" TargetMode="External" Id="Rb1309666aa944150" /><Relationship Type="http://schemas.openxmlformats.org/officeDocument/2006/relationships/hyperlink" Target="https://www.ppc.go.jp/files/pdf/iinkaikokuzi01.pdf" TargetMode="External" Id="Rc7518361a15f4b7c" /><Relationship Type="http://schemas.openxmlformats.org/officeDocument/2006/relationships/hyperlink" Target="https://www.ppc.go.jp/files/pdf/Supplementary_Rules.pdf" TargetMode="External" Id="R256084f868314cc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