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Buenos Aires Stock Exchange</w:t>
      </w:r>
      <w:r w:rsidR="00480329"/>
    </w:p>
    <w:p w:rsidRPr="00BC7873" w:rsidR="00BC7873" w:rsidP="00D354EF" w:rsidRDefault="00051AB4" w14:paraId="2476CC56" w14:textId="2FB25FA9">
      <w:pPr>
        <w:pStyle w:val="Title"/>
      </w:pPr>
      <w:r w:rsidRPr="00BC7873">
        <w:t>Fees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Companies wishing to make a public offering of their securities must pay to the CNV an initial fee (</w:t>
              </w:r>
              <w:r>
                <w:rPr>
                  <w:i/>
                </w:rPr>
                <w:t xml:space="preserve">aranceles de autorización</w:t>
              </w:r>
              <w:r>
                <w:t xml:space="preserve">) of 0.05% of the total amount issued. In addition, an audit fee of ARS 300,000 (US$360) must be paid annually.</w:t>
              </w:r>
            </w:p>
            <w:p>
              <w:pPr>
                <w:pStyle w:val="BodyText"/>
              </w:pPr>
              <w:pPr>
                <w:spacing w:after="220"/>
              </w:pPr>
              <w:r>
                <w:t xml:space="preserve">Additional costs must be taken into account, such as those of the broker, lawyers and accountants in connection with preparing the prospectus, negotiating with the CNV, arranging for the listing and registration of securities, and drafting and negotiating the related agreements.</w:t>
              </w:r>
            </w:p>
            <w:p>
              <w:pPr>
                <w:pStyle w:val="BodyText"/>
              </w:pPr>
              <w:pPr>
                <w:spacing w:after="220"/>
              </w:pPr>
              <w:r>
                <w:t xml:space="preserve">If the listing is combined with an offering, the underwriting bank will charge a commission for its services (usually defined as a percentage of the offering proceeds) and also charge its out-of-pocket expenses. In larger offerings, a financial communications firm may also be involved to assist in the preparation of marketing materials.</w:t>
              </w:r>
            </w:p>
            <w:p>
              <w:pPr>
                <w:pStyle w:val="BodyText"/>
              </w:pPr>
              <w:pPr>
                <w:spacing w:after="220"/>
              </w:pPr>
              <w:r>
                <w:t xml:space="preserve">Annual fees are also payable to the Exchange, to be paid quarterly and calculated using a formula that combines a fixed scale of fees based on the corporate capital of the relevant company, with an additional percentage amount (different for each range) over the exceeding minimum corporate capital amount of the corresponding range of the scale. The current scale of fees ranges from US$0.57 to US$40 (though this is expected to be revised imminently).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