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Argentina - Buenos Aires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Foreign companies wishing to issue securities on the Argentine Stock Exchanges and Markets (</w:t>
                  </w:r>
                  <w:r>
                    <w:rPr>
                      <w:i/>
                    </w:rPr>
                    <w:t xml:space="preserve">Bolsas y Mercados Argentinos</w:t>
                  </w:r>
                  <w:r>
                    <w:t xml:space="preserve">) (BYMA) must comply with the same requirements applicable to local issuers. When submitting a request to participate in a public offering, such companies are required to prove that they are not subject to any legal restriction or prohibition imposed by their country of incorporation.</w:t>
                  </w:r>
                </w:p>
                <w:p>
                  <w:pPr>
                    <w:pStyle w:val="BodyText"/>
                  </w:pPr>
                  <w:r>
                    <w:t xml:space="preserve">In addition, foreign issuers should evidence that:</w:t>
                  </w:r>
                </w:p>
                <w:p>
                  <w:pPr>
                    <w:pStyle w:val="BodyText"/>
                  </w:pPr>
                  <w:pPr>
                    <w:pStyle w:val="ListParagraph"/>
                    <w:numPr>
                      <w:ilvl w:val="0"/>
                      <w:numId w:val="16"/>
                    </w:numPr>
                  </w:pPr>
                  <w:r>
                    <w:t xml:space="preserve">They have one or more branches and/or permanent establishments in Argentina.</w:t>
                  </w:r>
                </w:p>
                <w:p>
                  <w:pPr>
                    <w:pStyle w:val="BodyText"/>
                  </w:pPr>
                  <w:pPr>
                    <w:pStyle w:val="ListParagraph"/>
                    <w:numPr>
                      <w:ilvl w:val="0"/>
                      <w:numId w:val="16"/>
                    </w:numPr>
                  </w:pPr>
                  <w:r>
                    <w:t xml:space="preserve">They own non-current assets in other companies.</w:t>
                  </w:r>
                </w:p>
                <w:p>
                  <w:pPr>
                    <w:pStyle w:val="BodyText"/>
                  </w:pPr>
                  <w:pPr>
                    <w:pStyle w:val="ListParagraph"/>
                    <w:numPr>
                      <w:ilvl w:val="0"/>
                      <w:numId w:val="16"/>
                    </w:numPr>
                  </w:pPr>
                  <w:r>
                    <w:t xml:space="preserve">They have fixed assets in the country of incorporation of the company.</w:t>
                  </w:r>
                </w:p>
                <w:p>
                  <w:pPr>
                    <w:pStyle w:val="BodyText"/>
                  </w:pPr>
                  <w:r>
                    <w:t xml:space="preserve">The BYMA was formed as a result of the spin off from MERVAL to create a new market alongside the Buenos Aires Stock Exchange (BCBA).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apply for a primary or secondary listing, foreign entities must provide the following documents:</w:t>
                  </w:r>
                </w:p>
                <w:p>
                  <w:pPr>
                    <w:pStyle w:val="BodyText"/>
                  </w:pPr>
                  <w:pPr>
                    <w:pStyle w:val="ListParagraph"/>
                    <w:numPr>
                      <w:ilvl w:val="0"/>
                      <w:numId w:val="14"/>
                    </w:numPr>
                  </w:pPr>
                  <w:r>
                    <w:t xml:space="preserve">Certified copy of the by-laws of the company and their subsequent amendments, if any.</w:t>
                  </w:r>
                </w:p>
                <w:p>
                  <w:pPr>
                    <w:pStyle w:val="BodyText"/>
                  </w:pPr>
                  <w:pPr>
                    <w:pStyle w:val="ListParagraph"/>
                    <w:numPr>
                      <w:ilvl w:val="0"/>
                      <w:numId w:val="14"/>
                    </w:numPr>
                  </w:pPr>
                  <w:r>
                    <w:t xml:space="preserve">Certified copies of all legal provisions applicable to the company in its country of incorporation.</w:t>
                  </w:r>
                </w:p>
                <w:p>
                  <w:pPr>
                    <w:pStyle w:val="BodyText"/>
                  </w:pPr>
                  <w:pPr>
                    <w:pStyle w:val="ListParagraph"/>
                    <w:numPr>
                      <w:ilvl w:val="0"/>
                      <w:numId w:val="14"/>
                    </w:numPr>
                  </w:pPr>
                  <w:r>
                    <w:t xml:space="preserve">Professional legal opinion signed by an attorney in the country of incorporation certifying that the company is not subject to any legal restriction or prohibition.</w:t>
                  </w:r>
                </w:p>
                <w:p>
                  <w:pPr>
                    <w:pStyle w:val="BodyText"/>
                  </w:pPr>
                  <w:pPr>
                    <w:pStyle w:val="ListParagraph"/>
                    <w:numPr>
                      <w:ilvl w:val="0"/>
                      <w:numId w:val="14"/>
                    </w:numPr>
                  </w:pPr>
                  <w:r>
                    <w:t xml:space="preserve">Financial statements of the company corresponding to the last fiscal year, duly approved by the company. If the applicable law of the country of incorporation does not require the preparation of financial statements, supplementary documentation may be requested by the CNV.</w:t>
                  </w:r>
                </w:p>
                <w:p>
                  <w:pPr>
                    <w:pStyle w:val="BodyText"/>
                  </w:pPr>
                  <w:pPr>
                    <w:pStyle w:val="ListParagraph"/>
                    <w:numPr>
                      <w:ilvl w:val="0"/>
                      <w:numId w:val="14"/>
                    </w:numPr>
                  </w:pPr>
                  <w:r>
                    <w:t xml:space="preserve">Prospectus using a template provided by the CNV.</w:t>
                  </w:r>
                </w:p>
                <w:p>
                  <w:pPr>
                    <w:pStyle w:val="BodyText"/>
                  </w:pPr>
                  <w:r>
                    <w:t xml:space="preserve">In addition, foreign entities must meet the following requirements:</w:t>
                  </w:r>
                </w:p>
                <w:p>
                  <w:pPr>
                    <w:pStyle w:val="BodyText"/>
                  </w:pPr>
                  <w:pPr>
                    <w:pStyle w:val="ListParagraph"/>
                    <w:numPr>
                      <w:ilvl w:val="0"/>
                      <w:numId w:val="15"/>
                    </w:numPr>
                  </w:pPr>
                  <w:r>
                    <w:t xml:space="preserve">Have a permanent establishment in Argentina.</w:t>
                  </w:r>
                </w:p>
                <w:p>
                  <w:pPr>
                    <w:pStyle w:val="BodyText"/>
                  </w:pPr>
                  <w:pPr>
                    <w:pStyle w:val="ListParagraph"/>
                    <w:numPr>
                      <w:ilvl w:val="0"/>
                      <w:numId w:val="15"/>
                    </w:numPr>
                  </w:pPr>
                  <w:r>
                    <w:t xml:space="preserve">Indicate if the company makes public offering of its securities abroad and, if so, indicate the applicable requirements that must be met in such countries.</w:t>
                  </w:r>
                </w:p>
                <w:p>
                  <w:pPr>
                    <w:pStyle w:val="BodyText"/>
                  </w:pPr>
                  <w:r>
                    <w:t xml:space="preserve">All documentation to be filed with the CNV must be submitted in compliance with the requirements of legal authentication of the country of incorporation, and should have the corresponding apostille (Hague Convention 1961) or be legalized by the corresponding Ministry of Foreign Affairs. Additionally all documentation must be translated into Spanish by a sworn public translator.</w:t>
                  </w:r>
                </w:p>
                <w:p>
                  <w:pPr>
                    <w:pStyle w:val="BodyText"/>
                  </w:pPr>
                  <w:r>
                    <w:rPr>
                      <w:b/>
                    </w:rPr>
                    <w:t xml:space="preserve">Special regimes and exemptions</w:t>
                  </w:r>
                </w:p>
                <w:p>
                  <w:pPr>
                    <w:pStyle w:val="BodyText"/>
                  </w:pPr>
                  <w:r>
                    <w:rPr>
                      <w:i/>
                    </w:rPr>
                    <w:t xml:space="preserve">Collaboration agreements. </w:t>
                  </w:r>
                  <w:r>
                    <w:t xml:space="preserve">The CNV may agree to lesser requirements for foreign companies authorized to offer their securities to the public in: (i) countries which have entered into a cooperation agreement with Argentina; or (ii) countries whose regulations are considered by the CNV to reasonably protect local investors and ensure an adequate information regime.</w:t>
                  </w:r>
                </w:p>
                <w:p>
                  <w:pPr>
                    <w:pStyle w:val="BodyText"/>
                  </w:pPr>
                  <w:r>
                    <w:rPr>
                      <w:i/>
                    </w:rPr>
                    <w:t xml:space="preserve">Small and medium enterprises (SMEs). </w:t>
                  </w:r>
                  <w:r>
                    <w:t xml:space="preserve">The CNV has a simplified regime for SMEs. The securities included in this regime may only be acquired by qualified investors.</w:t>
                  </w:r>
                </w:p>
                <w:p>
                  <w:pPr>
                    <w:pStyle w:val="BodyText"/>
                  </w:pPr>
                  <w:r>
                    <w:rPr>
                      <w:i/>
                    </w:rPr>
                    <w:t xml:space="preserve">Financial statements. </w:t>
                  </w:r>
                  <w:r>
                    <w:t xml:space="preserve">Last three fiscal years, or as from its date of incorporation (if the company was constituted less than three years ago). If the latest financial statement to be filed is older than five months at the filing date, the issuer should also file a special financial statement, which must be prepared within three months of the required filing.</w:t>
                  </w:r>
                </w:p>
                <w:p>
                  <w:pPr>
                    <w:pStyle w:val="BodyText"/>
                  </w:pPr>
                  <w:r>
                    <w:rPr>
                      <w:i/>
                    </w:rPr>
                    <w:t xml:space="preserve">Accounting standards. </w:t>
                  </w:r>
                  <w:r>
                    <w:t xml:space="preserve">The CNV does not require any specific accounting/auditing standards.</w:t>
                  </w:r>
                </w:p>
                <w:p>
                  <w:pPr>
                    <w:pStyle w:val="BodyText"/>
                  </w:pPr>
                  <w:r>
                    <w:rPr>
                      <w:i/>
                    </w:rPr>
                    <w:t xml:space="preserve">Operating history.</w:t>
                  </w:r>
                  <w:r>
                    <w:t xml:space="preserve"> The CNV does not require any specific time period.</w:t>
                  </w:r>
                </w:p>
                <w:p>
                  <w:pPr>
                    <w:pStyle w:val="BodyText"/>
                  </w:pPr>
                  <w:r>
                    <w:rPr>
                      <w:i/>
                    </w:rPr>
                    <w:t xml:space="preserve">Management continuity.</w:t>
                  </w:r>
                  <w:r>
                    <w:t xml:space="preserve"> The CNV does not require any specific period of continuity of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following is a fairly typical process and timetable for a listing of a foreign issuer on the BYMA and registering with the CNV:</w:t>
                  </w:r>
                </w:p>
                <w:p>
                  <w:pPr>
                    <w:pStyle w:val="BodyText"/>
                  </w:pPr>
                  <w:hyperlink w:history="true" r:id="Rccdb9de849a04a8b">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Local regulations regarding corporate governance for issuers seeking to list on the BYMA are the same for domestic and foreign companies. Consequently, there are no additional listing requirements (either pre-IPO or post-IPO) that either type of company must comply with.</w:t>
                  </w:r>
                </w:p>
                <w:p>
                  <w:pPr>
                    <w:pStyle w:val="BodyText"/>
                  </w:pPr>
                  <w:r>
                    <w:rPr>
                      <w:b/>
                    </w:rPr>
                    <w:t xml:space="preserve">Periodic reporting</w:t>
                  </w:r>
                </w:p>
                <w:p>
                  <w:pPr>
                    <w:pStyle w:val="BodyText"/>
                  </w:pPr>
                  <w:r>
                    <w:t xml:space="preserve">Following the initial listing, entities making a public offering of their securities are required to submit financial and corporate documentation to the CNV on an annual basis.</w:t>
                  </w:r>
                </w:p>
                <w:p>
                  <w:pPr>
                    <w:pStyle w:val="BodyText"/>
                  </w:pPr>
                  <w:r>
                    <w:t xml:space="preserve">The CNV may require the entities to provide notice of material corporate developments (e.g., acquisitions, annual meetings, declaration of dividends, change of line of business, etc.) and/or to submit the above-mentioned documentation on a quarterly basis.</w:t>
                  </w:r>
                </w:p>
                <w:p>
                  <w:pPr>
                    <w:pStyle w:val="BodyText"/>
                  </w:pPr>
                  <w:r>
                    <w:t xml:space="preserve">In addition, companies making a public offering of their securities in foreign markets must make available to local investors all information that may be required by said markets or their regulatory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Companies wishing to make a public offering of their securities must pay to the CNV an initial fee (</w:t>
                  </w:r>
                  <w:r>
                    <w:rPr>
                      <w:i/>
                    </w:rPr>
                    <w:t xml:space="preserve">aranceles de autorización</w:t>
                  </w:r>
                  <w:r>
                    <w:t xml:space="preserve">) of 0.05% of the total amount issued. In addition, an audit fee of ARS 2,805,000 (US$1,935) must be paid annually.</w:t>
                  </w:r>
                </w:p>
                <w:p>
                  <w:pPr>
                    <w:pStyle w:val="BodyText"/>
                  </w:pPr>
                  <w:r>
                    <w:t xml:space="preserve">Annual fees are also payable to the BYMA, to be paid quarterly and calculated using a formula that combines a fixed scale of fees based on the corporate capital of the relevant company, with an additional percentage amount (different for each range) over the exceeding minimum corporate capital amount of the corresponding range of the scale.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Argentine capital markets are under the supervision and control of the National Securities Commission (CNV). The CNV may authorize, regulate, supervise and sanction participants of the capital market and virtual asset services providers that act under certain conditions, as well as suspend and revoke the authorization act in the capital markets or offer virtual assets.</w:t>
                  </w:r>
                </w:p>
                <w:p>
                  <w:pPr>
                    <w:pStyle w:val="BodyText"/>
                  </w:pPr>
                  <w:r>
                    <w:t xml:space="preserve">Although the controlling body is the CNV, it requires other entities to perform supervisory and controlling activities over the operations carried out in the capital markets. The main ones are: (i) stock exchanges; (ii) exchange markets; (iii) securities depositories; and (iv) settlement entities.</w:t>
                  </w:r>
                </w:p>
                <w:p>
                  <w:pPr>
                    <w:pStyle w:val="BodyText"/>
                  </w:pPr>
                  <w:r>
                    <w:t xml:space="preserve">A stock exchange is an entity (constituted under the form of civil association or corporation), in which securities are listed to be publicly offered with the prior authorization of the CNV. There are 14 stock exchanges authorized to operate in Argentina. The main ones are located in the cities of Buenos Aires, Rosario, Córdoba, La Plata and Mendoza. The Argentine Stock Exchanges and Markets (</w:t>
                  </w:r>
                  <w:r>
                    <w:rPr>
                      <w:i/>
                    </w:rPr>
                    <w:t xml:space="preserve">Bolsas y Mercados Argentinos</w:t>
                  </w:r>
                  <w:r>
                    <w:t xml:space="preserve">) (BYMA), created in 2017, is the organization responsible for the operation of Argentina's primary stock exchange. The BYMA is the result of a split undertaken by the Buenos Aires Stock Exchange S.A. (</w:t>
                  </w:r>
                  <w:r>
                    <w:rPr>
                      <w:i/>
                    </w:rPr>
                    <w:t xml:space="preserve">Mercado de Valores de Buenos Aires S.A.</w:t>
                  </w:r>
                  <w:r>
                    <w:t xml:space="preserve"> or </w:t>
                  </w:r>
                  <w:r>
                    <w:rPr>
                      <w:i/>
                    </w:rPr>
                    <w:t xml:space="preserve">MERVAL</w:t>
                  </w:r>
                  <w:r>
                    <w:t xml:space="preserve">) to create a new market, the BYMA, alongside the Buenos Aires Stock Exchange (BCBA), founded in 1854. Nearly 90% of all securities authorized for offering in local securities markets are traded on the BYMA.</w:t>
                  </w:r>
                </w:p>
                <w:p>
                  <w:pPr>
                    <w:pStyle w:val="BodyText"/>
                  </w:pPr>
                  <w:r>
                    <w:t xml:space="preserve">The BYMA follows the rules and regulations issued by the CNV.</w:t>
                  </w:r>
                </w:p>
                <w:p>
                  <w:pPr>
                    <w:pStyle w:val="BodyText"/>
                  </w:pPr>
                  <w:r>
                    <w:t xml:space="preserve">Securities in Buenos Aires are traded on the BYMA and in over-the-counter markets such as the </w:t>
                  </w:r>
                  <w:r>
                    <w:rPr>
                      <w:i/>
                    </w:rPr>
                    <w:t xml:space="preserve">Mercado Abierto Electrónico S.A.</w:t>
                  </w:r>
                  <w:r>
                    <w:t xml:space="preserve"> MERVAL is the main index of the BYMA, composed of the 25 most liquid stocks listed. Stock purpose corporations, registered and authorized by the CNV, are allowed to carry out transactions involving securities in the local stock markets.</w:t>
                  </w:r>
                </w:p>
                <w:p>
                  <w:pPr>
                    <w:pStyle w:val="BodyText"/>
                  </w:pPr>
                  <w:r>
                    <w:t xml:space="preserve">Historically, the BYMA has been home to large local companies. Currently there are almost 90 companies listed in the BYMA, four of which are foreign companies. This situation has not changed over the past year, although we expect this number to increase in the coming years. The BYMA does not encourage listings of any particular types of companies. Companies from all industrial sectors and sizes have and can be listed on the BYMA.</w:t>
                  </w:r>
                </w:p>
                <w:p>
                  <w:pPr>
                    <w:pStyle w:val="BodyText"/>
                  </w:pPr>
                  <w:r>
                    <w:t xml:space="preserve">Also, the BYMA owns Caja de Valores S.A. (Caja de Valores), which is the entity that acts as the central securities depository. Caja de Valores offers capital market participants collective deposit services, custody services, registration services, liquidation services and payment of credits services, as complementary services to those already offered by the BYMA as a stock exchange, clearing house and issuer.</w:t>
                  </w:r>
                </w:p>
                <w:p>
                  <w:pPr>
                    <w:pStyle w:val="BodyText"/>
                  </w:pPr>
                  <w:r>
                    <w:t xml:space="preserve">Other relevant exchange markets are ROFEX S.A. (Rofex) and </w:t>
                  </w:r>
                  <w:r>
                    <w:rPr>
                      <w:i/>
                    </w:rPr>
                    <w:t xml:space="preserve">Mercado a Término de Buenos Aires S.A.</w:t>
                  </w:r>
                  <w:r>
                    <w:t xml:space="preserve"> (Matba), which specializes in futures and options. Rofex and Matba merged in 2019 to constitute a single futures exchange known as A3.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Securities Law No. 26,831 (the Securities Law), along with the general resolutions issued by the CNV, constitute the securities' regulatory framework in Argentina. Any proposed listing must comply with the registration requirements established by the CNV and the Securities Law.</w:t>
                  </w:r>
                </w:p>
                <w:p>
                  <w:pPr>
                    <w:pStyle w:val="BodyText"/>
                  </w:pPr>
                  <w:r>
                    <w:t xml:space="preserve">Pursuant to the provisions of the Securities Law, securities may be issued in bearer, in registered or in book-entry forms, and may be denominated in either local or foreign currency. Rates for securities can be fixed or floating and may vary substantially depending on the market conditions and the issuer's creditworthiness.</w:t>
                  </w:r>
                </w:p>
                <w:p>
                  <w:pPr>
                    <w:pStyle w:val="BodyText"/>
                  </w:pPr>
                  <w:r>
                    <w:t xml:space="preserve">Argentine corporations, cooperatives, non-profit organizations and branches of foreign corporations can issue different types of securities, provided they comply with the legal requirements of the Securities Law. It is not necessary for their by-laws to expressly contemplate the issuance of securities. Such a decision can be adopted by an ordinary shareholders' meeting, where all necessary powers to approve the terms and conditions regarding the issuance of securities are delegated to the board of directors.</w:t>
                  </w:r>
                </w:p>
                <w:p>
                  <w:pPr>
                    <w:pStyle w:val="BodyText"/>
                  </w:pPr>
                  <w:r>
                    <w:t xml:space="preserve">If an entity wishes to offer securities to the public, it must submit a request to the CNV for the purpose of its analysis and approval. Submissions that do not comply with all the documentation requested by the CNV will be rejected. Entities making public offering of their securities in foreign markets are required to submit simultaneously to the CNV all additional information requested by said foreign markets.</w:t>
                  </w:r>
                </w:p>
                <w:p>
                  <w:pPr>
                    <w:pStyle w:val="BodyText"/>
                  </w:pPr>
                  <w:r>
                    <w:t xml:space="preserve">The request to make a public offering must be submitted by the legal representative of the issuer or its attorney in fact. The application should include the purpose of the request and any other additional information that may be requested by the CNV.</w:t>
                  </w:r>
                </w:p>
                <w:p>
                  <w:pPr>
                    <w:pStyle w:val="BodyText"/>
                  </w:pPr>
                  <w:r>
                    <w:t xml:space="preserve">Entities wishing to make public offerings must submit financial statements for the last three fiscal years, or as from its date of incorporation (if the company was constituted less than three years ago). If the latest financial statement to be filed is older than five months at the filing date, the issuer should also file a special financial statement, which must be prepared within three months of the required filing. Please note that there are no additional financial requirements (profits, revenues, cash flow, market capitalization or assets) that a company must meet in order to qualify to list its securities on the BYMA, nor ongoing financial requirements to be met after the initial listing in order to maintain a listing on the BYMA. Nevertheless, the issuer must provide written notification of any fact or situation that could affect: (i) the development of the business of the issuer; (ii) its financial statements; or (iii) the offering or negotiation of the securities.</w:t>
                  </w:r>
                </w:p>
                <w:p>
                  <w:pPr>
                    <w:pStyle w:val="BodyText"/>
                  </w:pPr>
                  <w:r>
                    <w:t xml:space="preserve">As regards any particular length of trading history or any particular length of time in operation, the CNV does not have any requirements or limitations on the same. In addition, there are no ownership requirements specifically applicable to a listing of a foreign company's securities, in terms of holders of a particular nationality or size of individual shareholdings.</w:t>
                  </w:r>
                </w:p>
                <w:p>
                  <w:pPr>
                    <w:pStyle w:val="BodyText"/>
                  </w:pPr>
                  <w:r>
                    <w:t xml:space="preserve">There are no corporate governance requirements that a company must meet in order to qualify to list its securities on the BYMA (please refer to the section entitled </w:t>
                  </w:r>
                  <w:r>
                    <w:rPr>
                      <w:i/>
                    </w:rPr>
                    <w:t xml:space="preserve">Corporate governance</w:t>
                  </w:r>
                  <w:r>
                    <w:t xml:space="preserve">). Additionally, there is no requirement specifically to appoint a sponsor or a broker for the listing. However, it is market practice for the issuer to appoint a broker and a law firm experienced in capital markets law in connection with its listing.</w:t>
                  </w:r>
                </w:p>
                <w:p>
                  <w:pPr>
                    <w:pStyle w:val="BodyText"/>
                  </w:pPr>
                  <w:r>
                    <w:t xml:space="preserve">Even though a company does not need to conduct any interviews with the CNV, it is good market practice for the representatives of the appointed broker and the law firm to meet several times with the CNV before the listing to discuss the process, organization and timing of all steps before the application for listing is made.</w:t>
                  </w:r>
                </w:p>
                <w:p>
                  <w:pPr>
                    <w:pStyle w:val="BodyText"/>
                  </w:pPr>
                  <w:r>
                    <w:t xml:space="preserve">There is no requirement for listed companies to have or maintain a specific minimum number of security holders or to have or maintain a minimum trading price for their securities. In addition, there is no requirement for any shares to be placed into escrow (or otherwise be restrained from being traded, such as through "lock-in" or "lock-up" arrangements) in connection with the listing.</w:t>
                  </w:r>
                </w:p>
                <w:p>
                  <w:pPr>
                    <w:pStyle w:val="BodyText"/>
                  </w:pPr>
                  <w:r>
                    <w:t xml:space="preserve">Normally, whilst a company applying for a listing does not need to fulfil any specific free float requirements, it is usual that during the pre-listing stage, the amount of free float is agreed with the CNV representatives in order to allow sufficient liquidity for trading.</w:t>
                  </w:r>
                </w:p>
                <w:p>
                  <w:pPr>
                    <w:pStyle w:val="BodyText"/>
                  </w:pPr>
                  <w:r>
                    <w:t xml:space="preserve">There are no restrictions on the currency denomination of securities. The securities to be listed or traded must be freely transferable. There is no specific requirement for securities to be settled within a particular clearing system or registered with a particular share transfer agent.</w:t>
                  </w:r>
                </w:p>
                <w:p>
                  <w:pPr>
                    <w:pStyle w:val="BodyText"/>
                  </w:pPr>
                  <w:r>
                    <w:t xml:space="preserve">Normally, a company applying for a listing does not need to obtain a compliance adviser that is established with the CNV. However, it is a usual market practice that both brokers as well as law firms are engaged in this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Generally, foreign companies wishing to issue securities and offer the same through the BYMA must comply with the same requirements applicable to the local issuers. When submitting a request to participate in a public offering, such companies are required to prove that they are not subject to any legal restriction or prohibition imposed by their country of incorporation.</w:t>
                  </w:r>
                </w:p>
                <w:p>
                  <w:pPr>
                    <w:pStyle w:val="BodyText"/>
                  </w:pPr>
                  <w:r>
                    <w:t xml:space="preserve">In addition, when submitting a request to participate in a public offering, foreign issuers should evidence that: (i) they have one or more branches and/or permanent establishments in the country; (ii) they own non-current assets in other companies; and (iii) they have fixed assets in the country of incorporation of the company.</w:t>
                  </w:r>
                </w:p>
                <w:p>
                  <w:pPr>
                    <w:pStyle w:val="BodyText"/>
                  </w:pPr>
                  <w:r>
                    <w:t xml:space="preserve">No special difference is made for registration or listing purposes based on whether the offering involves a primary or secondary listing.</w:t>
                  </w:r>
                </w:p>
                <w:p>
                  <w:pPr>
                    <w:pStyle w:val="BodyText"/>
                  </w:pPr>
                  <w:r>
                    <w:rPr>
                      <w:i/>
                    </w:rPr>
                    <w:t xml:space="preserve">General regime for foreign entities</w:t>
                  </w:r>
                </w:p>
                <w:p>
                  <w:pPr>
                    <w:pStyle w:val="BodyText"/>
                  </w:pPr>
                  <w:r>
                    <w:t xml:space="preserve">The same requirements apply to local issuers and apply to foreign issuers wishing to issue securities in Argentina.</w:t>
                  </w:r>
                </w:p>
                <w:p>
                  <w:pPr>
                    <w:pStyle w:val="BodyText"/>
                  </w:pPr>
                  <w:r>
                    <w:t xml:space="preserve">To apply for a primary or secondary listing, foreign entities must provide the following documents:</w:t>
                  </w:r>
                </w:p>
                <w:p>
                  <w:pPr>
                    <w:pStyle w:val="BodyText"/>
                  </w:pPr>
                  <w:pPr>
                    <w:pStyle w:val="ListParagraph"/>
                    <w:numPr>
                      <w:ilvl w:val="0"/>
                      <w:numId w:val="12"/>
                    </w:numPr>
                  </w:pPr>
                  <w:r>
                    <w:t xml:space="preserve">Certified copy of the by-laws of the company and their subsequent amendments, if any.</w:t>
                  </w:r>
                </w:p>
                <w:p>
                  <w:pPr>
                    <w:pStyle w:val="BodyText"/>
                  </w:pPr>
                  <w:pPr>
                    <w:pStyle w:val="ListParagraph"/>
                    <w:numPr>
                      <w:ilvl w:val="0"/>
                      <w:numId w:val="12"/>
                    </w:numPr>
                  </w:pPr>
                  <w:r>
                    <w:t xml:space="preserve">Certified copies of all legal provisions applicable to the company in its country of incorporation.</w:t>
                  </w:r>
                </w:p>
                <w:p>
                  <w:pPr>
                    <w:pStyle w:val="BodyText"/>
                  </w:pPr>
                  <w:pPr>
                    <w:pStyle w:val="ListParagraph"/>
                    <w:numPr>
                      <w:ilvl w:val="0"/>
                      <w:numId w:val="12"/>
                    </w:numPr>
                  </w:pPr>
                  <w:r>
                    <w:t xml:space="preserve">Professional legal opinion signed by an attorney in the country of incorporation certifying that the company is not subject to any legal restriction or prohibition.</w:t>
                  </w:r>
                </w:p>
                <w:p>
                  <w:pPr>
                    <w:pStyle w:val="BodyText"/>
                  </w:pPr>
                  <w:pPr>
                    <w:pStyle w:val="ListParagraph"/>
                    <w:numPr>
                      <w:ilvl w:val="0"/>
                      <w:numId w:val="12"/>
                    </w:numPr>
                  </w:pPr>
                  <w:r>
                    <w:t xml:space="preserve">Financial statements of the company corresponding to the last fiscal year, duly approved by the company. If the applicable law of the country of incorporation does not require the preparation of financial statements, supplementary documentation may be requested by the CNV.</w:t>
                  </w:r>
                </w:p>
                <w:p>
                  <w:pPr>
                    <w:pStyle w:val="BodyText"/>
                  </w:pPr>
                  <w:pPr>
                    <w:pStyle w:val="ListParagraph"/>
                    <w:numPr>
                      <w:ilvl w:val="0"/>
                      <w:numId w:val="12"/>
                    </w:numPr>
                  </w:pPr>
                  <w:r>
                    <w:t xml:space="preserve">Unless otherwise provided in the company's by-laws, an audit committee shall be appointed by the board of the issuer. The audit committee will issue its own internal regulations, which shall be registered in the Public Registry of Commerce. Appointment of its members, as well as any modification to it shall be communicated by the issuer to the markets in which the shares of the issuer are traded, within three business days.</w:t>
                  </w:r>
                </w:p>
                <w:p>
                  <w:pPr>
                    <w:pStyle w:val="BodyText"/>
                  </w:pPr>
                  <w:pPr>
                    <w:pStyle w:val="ListParagraph"/>
                    <w:numPr>
                      <w:ilvl w:val="0"/>
                      <w:numId w:val="12"/>
                    </w:numPr>
                  </w:pPr>
                  <w:r>
                    <w:t xml:space="preserve">The committee shall review the plans of the external and internal auditors, evaluate their performance and issue an opinion on the presentation of the annual financial statements. Please note that the CNV does not require any specific accounting/auditing standards.</w:t>
                  </w:r>
                </w:p>
                <w:p>
                  <w:pPr>
                    <w:pStyle w:val="BodyText"/>
                  </w:pPr>
                  <w:pPr>
                    <w:pStyle w:val="ListParagraph"/>
                    <w:numPr>
                      <w:ilvl w:val="0"/>
                      <w:numId w:val="12"/>
                    </w:numPr>
                  </w:pPr>
                  <w:r>
                    <w:t xml:space="preserve">The ordinary shareholders' meeting of an entity making public offer of its securities shall designate an external auditor who will issue the audit report of its annual financial statements and for intermediate periods.</w:t>
                  </w:r>
                </w:p>
                <w:p>
                  <w:pPr>
                    <w:pStyle w:val="BodyText"/>
                  </w:pPr>
                  <w:r>
                    <w:t xml:space="preserve">In addition, foreign entities shall meet the following requirements:</w:t>
                  </w:r>
                </w:p>
                <w:p>
                  <w:pPr>
                    <w:pStyle w:val="BodyText"/>
                  </w:pPr>
                  <w:pPr>
                    <w:pStyle w:val="ListParagraph"/>
                    <w:numPr>
                      <w:ilvl w:val="0"/>
                      <w:numId w:val="13"/>
                    </w:numPr>
                  </w:pPr>
                  <w:r>
                    <w:t xml:space="preserve">Permanent establishment in Argentina.</w:t>
                  </w:r>
                </w:p>
                <w:p>
                  <w:pPr>
                    <w:pStyle w:val="BodyText"/>
                  </w:pPr>
                  <w:pPr>
                    <w:pStyle w:val="ListParagraph"/>
                    <w:numPr>
                      <w:ilvl w:val="0"/>
                      <w:numId w:val="13"/>
                    </w:numPr>
                  </w:pPr>
                  <w:r>
                    <w:t xml:space="preserve">Indicate if the company has publicly listed securities outside Argentina and, if so, indicate the applicable requirements that must be met in such countries.</w:t>
                  </w:r>
                </w:p>
                <w:p>
                  <w:pPr>
                    <w:pStyle w:val="BodyText"/>
                  </w:pPr>
                  <w:r>
                    <w:t xml:space="preserve">All documentation to be filed must be submitted in compliance with the requirements of the country of incorporation, and should have the corresponding apostille (Hague Convention 1961) or be legalized by the corresponding Ministry of Foreign Affairs. Additionally, all documentation must be translated into Spanish by a sworn public translator.</w:t>
                  </w:r>
                </w:p>
                <w:p>
                  <w:pPr>
                    <w:pStyle w:val="BodyText"/>
                  </w:pPr>
                  <w:r>
                    <w:rPr>
                      <w:i/>
                    </w:rPr>
                    <w:t xml:space="preserve">Special regime for foreign entities</w:t>
                  </w:r>
                </w:p>
                <w:p>
                  <w:pPr>
                    <w:pStyle w:val="BodyText"/>
                  </w:pPr>
                  <w:r>
                    <w:t xml:space="preserve">The CNV may agree to lesser requirements for foreign companies already authorized to offer their securities to the public in: (i) countries which have entered into a cooperation agreement with Argentina; or (ii) countries whose regulations are considered by the CNV to reasonably protect local investors and ensure an adequate information regime.</w:t>
                  </w:r>
                </w:p>
                <w:p>
                  <w:pPr>
                    <w:pStyle w:val="BodyText"/>
                  </w:pPr>
                  <w:r>
                    <w:rPr>
                      <w:i/>
                    </w:rPr>
                    <w:t xml:space="preserve">Prospectus</w:t>
                  </w:r>
                </w:p>
                <w:p>
                  <w:pPr>
                    <w:pStyle w:val="BodyText"/>
                  </w:pPr>
                  <w:r>
                    <w:t xml:space="preserve">Companies wishing to make a public offering of their securities must prepare a prospectus using a template provided by the CNV, in plain and understandable language. The prospectus must be signed by a person duly authorized by the issuer, describing in detail the placement efforts to be carried out.</w:t>
                  </w:r>
                </w:p>
                <w:p>
                  <w:pPr>
                    <w:pStyle w:val="BodyText"/>
                  </w:pPr>
                  <w:r>
                    <w:t xml:space="preserve">In addition, the CNV may require the issuer to include in the prospectus additional information, warnings and/or considerations as are deemed necessary, or to provide additional documentation. Furthermore, where the company is issuing securities other than shares, the information included in the prospectus should be consistent with the nature of the security being offered.</w:t>
                  </w:r>
                </w:p>
                <w:p>
                  <w:pPr>
                    <w:pStyle w:val="BodyText"/>
                  </w:pPr>
                  <w:r>
                    <w:t xml:space="preserve">A sufficient number of copies of the prospectus must be printed to cover the demand of potential interested parties and it must also be published in the Financial Information Gazette. For the purposes of the latter publication, the company may prepare a short version of the prospectus including a summary with all the information required by the CNV, without the need to include the complete financial statements. In such case, the complete version of the prospectus must be available for investors: (i) at the registered office of the issuer; (ii) if applicable, at the premises of the placing and distribution agents; or (iii) in any other place indicated by the issuer.</w:t>
                  </w:r>
                </w:p>
                <w:p>
                  <w:pPr>
                    <w:pStyle w:val="BodyText"/>
                  </w:pPr>
                  <w:r>
                    <w:t xml:space="preserve">Finally, please note that it is not necessary to prepare a prospectus in the following cases: (i) issuance of shares for capitalization of reserves, accounting adjustments, profits or other special accounts recorded in the financial statements; (ii) issuance of shares with suspension of pre-emptive subscription rights; or (iii) issuance of shares by conversion or exchange of other securities.</w:t>
                  </w:r>
                </w:p>
                <w:p>
                  <w:pPr>
                    <w:pStyle w:val="BodyText"/>
                  </w:pPr>
                  <w:r>
                    <w:rPr>
                      <w:i/>
                    </w:rPr>
                    <w:t xml:space="preserve">Typical process and timetable for a listing of a foreign company on the BYMA</w:t>
                  </w:r>
                </w:p>
                <w:p>
                  <w:pPr>
                    <w:pStyle w:val="BodyText"/>
                  </w:pPr>
                  <w:hyperlink w:history="true" r:id="R27c75a55554549d8">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Periodic reporting</w:t>
                  </w:r>
                </w:p>
                <w:p>
                  <w:pPr>
                    <w:pStyle w:val="BodyText"/>
                  </w:pPr>
                  <w:r>
                    <w:t xml:space="preserve">Following the initial listing, entities making a public offering of their securities must submit the following documentation to the CNV on an annual basis:</w:t>
                  </w:r>
                </w:p>
                <w:p>
                  <w:pPr>
                    <w:pStyle w:val="BodyText"/>
                  </w:pPr>
                  <w:pPr>
                    <w:pStyle w:val="ListParagraph"/>
                    <w:numPr>
                      <w:ilvl w:val="0"/>
                      <w:numId w:val="11"/>
                    </w:numPr>
                  </w:pPr>
                  <w:r>
                    <w:t xml:space="preserve">Annual report.</w:t>
                  </w:r>
                </w:p>
                <w:p>
                  <w:pPr>
                    <w:pStyle w:val="BodyText"/>
                  </w:pPr>
                  <w:pPr>
                    <w:pStyle w:val="ListParagraph"/>
                    <w:numPr>
                      <w:ilvl w:val="0"/>
                      <w:numId w:val="11"/>
                    </w:numPr>
                  </w:pPr>
                  <w:r>
                    <w:t xml:space="preserve">Financial statements.</w:t>
                  </w:r>
                </w:p>
                <w:p>
                  <w:pPr>
                    <w:pStyle w:val="BodyText"/>
                  </w:pPr>
                  <w:pPr>
                    <w:pStyle w:val="ListParagraph"/>
                    <w:numPr>
                      <w:ilvl w:val="0"/>
                      <w:numId w:val="11"/>
                    </w:numPr>
                  </w:pPr>
                  <w:r>
                    <w:t xml:space="preserve">Summary of consolidated financial statement.</w:t>
                  </w:r>
                </w:p>
                <w:p>
                  <w:pPr>
                    <w:pStyle w:val="BodyText"/>
                  </w:pPr>
                  <w:pPr>
                    <w:pStyle w:val="ListParagraph"/>
                    <w:numPr>
                      <w:ilvl w:val="0"/>
                      <w:numId w:val="11"/>
                    </w:numPr>
                  </w:pPr>
                  <w:r>
                    <w:t xml:space="preserve">Copy of the minutes approving the documentation mentioned above.</w:t>
                  </w:r>
                </w:p>
                <w:p>
                  <w:pPr>
                    <w:pStyle w:val="BodyText"/>
                  </w:pPr>
                  <w:pPr>
                    <w:pStyle w:val="ListParagraph"/>
                    <w:numPr>
                      <w:ilvl w:val="0"/>
                      <w:numId w:val="11"/>
                    </w:numPr>
                  </w:pPr>
                  <w:r>
                    <w:t xml:space="preserve">Report of the Supervisory Committee on the management of the company.</w:t>
                  </w:r>
                </w:p>
                <w:p>
                  <w:pPr>
                    <w:pStyle w:val="BodyText"/>
                  </w:pPr>
                  <w:pPr>
                    <w:pStyle w:val="ListParagraph"/>
                    <w:numPr>
                      <w:ilvl w:val="0"/>
                      <w:numId w:val="11"/>
                    </w:numPr>
                  </w:pPr>
                  <w:r>
                    <w:t xml:space="preserve">Report of the External Auditor on the financial statements.</w:t>
                  </w:r>
                </w:p>
                <w:p>
                  <w:pPr>
                    <w:pStyle w:val="BodyText"/>
                  </w:pPr>
                  <w:pPr>
                    <w:pStyle w:val="ListParagraph"/>
                    <w:numPr>
                      <w:ilvl w:val="0"/>
                      <w:numId w:val="11"/>
                    </w:numPr>
                  </w:pPr>
                  <w:r>
                    <w:t xml:space="preserve">List of any controlled and/or related entity.</w:t>
                  </w:r>
                </w:p>
                <w:p>
                  <w:pPr>
                    <w:pStyle w:val="BodyText"/>
                  </w:pPr>
                  <w:r>
                    <w:t xml:space="preserve">Please note that the CNV may require the entities to provide notice of material corporate developments (such as acquisitions, annual meetings, declaration of dividends and change of line of business) and/or to submit the above-mentioned documentation on a quarterly basis.</w:t>
                  </w:r>
                </w:p>
                <w:p>
                  <w:pPr>
                    <w:pStyle w:val="BodyText"/>
                  </w:pPr>
                  <w:r>
                    <w:t xml:space="preserve">In addition, the annual and quarterly financial statements must include an audit report issued by an independent public accountant appointed by shareholders' meeting and duly registered in the External Auditors Registry of the CNV, whose signature will be legalized by the corresponding professional council. The financial statements must be submitted in accordance with the International Financial Reporting Standards issued by the International Accounting Standards Board.</w:t>
                  </w:r>
                </w:p>
                <w:p>
                  <w:pPr>
                    <w:pStyle w:val="BodyText"/>
                  </w:pPr>
                  <w:r>
                    <w:rPr>
                      <w:i/>
                    </w:rPr>
                    <w:t xml:space="preserve">Insider trading</w:t>
                  </w:r>
                </w:p>
                <w:p>
                  <w:pPr>
                    <w:pStyle w:val="BodyText"/>
                  </w:pPr>
                  <w:r>
                    <w:t xml:space="preserve">Under the Argentine Criminal Code, any director, supervisory body member, shareholder, shareholder's representative and any person that by way of his/her work, profession or position at an issuing company, directly or through any other person, provides or uses privileged information to which he/she had access as a result of his/her activity, for the negotiation, pricing, purchase, sale or liquidation of securities, can be punished by up to six years' imprisonment, a fine and a special disqualification.</w:t>
                  </w:r>
                </w:p>
                <w:p>
                  <w:pPr>
                    <w:pStyle w:val="BodyText"/>
                  </w:pPr>
                  <w:r>
                    <w:t xml:space="preserve">Penalties are increased when: (i) the privileged information is used or provided on a regular basis; (ii) the use or supply of privileged information brings an economic benefit or avoids a financial loss to the holder of said privileged information or to third parties; (iii) the use or supply of privileged information damages any stock market; or (iv) the crime is committed by a director, a member of the supervisory body, an officer or an employee of a stock market or by any individual whose job requires a license, or by a public officer.</w:t>
                  </w:r>
                </w:p>
                <w:p>
                  <w:pPr>
                    <w:pStyle w:val="BodyText"/>
                  </w:pPr>
                  <w:r>
                    <w:t xml:space="preserve">For clarification purposes, the term privileged information includes all information not available to the public, the disclosure of which could have a significant influence on the stock market.</w:t>
                  </w:r>
                </w:p>
                <w:p>
                  <w:pPr>
                    <w:pStyle w:val="BodyText"/>
                  </w:pPr>
                  <w:r>
                    <w:rPr>
                      <w:i/>
                    </w:rPr>
                    <w:t xml:space="preserve">Stock market manipulation</w:t>
                  </w:r>
                </w:p>
                <w:p>
                  <w:pPr>
                    <w:pStyle w:val="BodyText"/>
                  </w:pPr>
                  <w:r>
                    <w:t xml:space="preserve">Criminal penalties are applied to anyone making transactions which increase, maintain or lower the price of securities, by using false information, fake negotiations, or coalition of main holders. Criminal penalties may also be applied to persons offering securities who conceal the true facts or circumstances or assert false information.</w:t>
                  </w:r>
                </w:p>
                <w:p>
                  <w:pPr>
                    <w:pStyle w:val="BodyText"/>
                  </w:pPr>
                  <w:r>
                    <w:rPr>
                      <w:i/>
                    </w:rPr>
                    <w:t xml:space="preserve">Unauthorized stock market activities</w:t>
                  </w:r>
                </w:p>
                <w:p>
                  <w:pPr>
                    <w:pStyle w:val="BodyText"/>
                  </w:pPr>
                  <w:r>
                    <w:t xml:space="preserve">Persons carrying out financial intermediation activities without being authorized may be subject to imprisonment, a fine and a special disqualification.</w:t>
                  </w:r>
                </w:p>
                <w:p>
                  <w:pPr>
                    <w:pStyle w:val="BodyText"/>
                  </w:pPr>
                  <w:r>
                    <w:rPr>
                      <w:i/>
                    </w:rPr>
                    <w:t xml:space="preserve">Sanctions applicable to legal entities</w:t>
                  </w:r>
                </w:p>
                <w:p>
                  <w:pPr>
                    <w:pStyle w:val="BodyText"/>
                  </w:pPr>
                  <w:r>
                    <w:t xml:space="preserve">When the above-mentioned criminal acts are committed on behalf of or for the benefit of a legal entity, the following sanctions may be imposed on the company: fines ranging from 2-10 times the value of criminal assets; suspension of activities; suspension from participating in public bids; cancellation of the legal entity if it was created solely for the purpose of committing the crime, or if such criminal acts constitute its principal activity; loss or suspension of state benefits; and/or publication of an extract of the judgment.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Local regulations regarding corporate governance for issuers seeking to list on the BYMA are the same for domestic and foreign companies. Consequently, there are no additional listing requirements (either pre-IPO or post-IPO) that either type of company must comply with. However, a foreign issuer's legal status must comply with the legal framework of the country where the issuer has its registered office (a fact that must also be declared by the issuer in its application for admission).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additional requirements, or any changes in the normal requirements, that apply to very large multinational companies. On the contrary, small and medium-sized enterprises (SMEs) benefit from a simplified regime.</w:t>
                  </w:r>
                </w:p>
                <w:p>
                  <w:pPr>
                    <w:pStyle w:val="BodyText"/>
                  </w:pPr>
                  <w:r>
                    <w:t xml:space="preserve">In this regard, CNV regulations define SMEs, only to the effect of access to capital markets, as companies duly organized and existing under the laws of Argentina, whose total annual income in Argentine Pesos does not exceed the following values:</w:t>
                  </w:r>
                </w:p>
                <w:p>
                  <w:pPr>
                    <w:pStyle w:val="BodyText"/>
                  </w:pPr>
                  <w:r>
                    <w:t xml:space="preserve">(i) agribusiness sector: AR$22,744,110,000 (approximately US$15.69 million).</w:t>
                  </w:r>
                </w:p>
                <w:p>
                  <w:pPr>
                    <w:pStyle w:val="BodyText"/>
                  </w:pPr>
                  <w:r>
                    <w:t xml:space="preserve">(ii) industrial and mining sector: AR$101,070,840,000 (approximately US$69.74 million).</w:t>
                  </w:r>
                </w:p>
                <w:p>
                  <w:pPr>
                    <w:pStyle w:val="BodyText"/>
                  </w:pPr>
                  <w:r>
                    <w:t xml:space="preserve">(iii) commerce sector: AR$66,319,160,000 (approximately US$45.76 million).</w:t>
                  </w:r>
                </w:p>
                <w:p>
                  <w:pPr>
                    <w:pStyle w:val="BodyText"/>
                  </w:pPr>
                  <w:r>
                    <w:t xml:space="preserve">(iv) service sector: AR$19,012,110,000 (approximately US$13.12 million).</w:t>
                  </w:r>
                </w:p>
                <w:p>
                  <w:pPr>
                    <w:pStyle w:val="BodyText"/>
                  </w:pPr>
                  <w:r>
                    <w:t xml:space="preserve">(v) construction sector: AR$28,254,420,000 (approximately US$19.50 million).</w:t>
                  </w:r>
                </w:p>
                <w:p>
                  <w:pPr>
                    <w:pStyle w:val="BodyText"/>
                  </w:pPr>
                  <w:r>
                    <w:t xml:space="preserve">Financial institutions, markets authorized by the CNV, entities that provide public services and small or medium-sized enterprises that are related to or controlled by an external company or economic group that do not fall under the SME regime will not be considered SMEs.</w:t>
                  </w:r>
                </w:p>
                <w:p>
                  <w:pPr>
                    <w:pStyle w:val="BodyText"/>
                  </w:pPr>
                  <w:r>
                    <w:t xml:space="preserve">The securities included in this regime may only be acquired by qualified investors included in the following categories:</w:t>
                  </w:r>
                </w:p>
                <w:p>
                  <w:pPr>
                    <w:pStyle w:val="BodyText"/>
                  </w:pPr>
                  <w:pPr>
                    <w:pStyle w:val="ListParagraph"/>
                    <w:numPr>
                      <w:ilvl w:val="0"/>
                      <w:numId w:val="10"/>
                    </w:numPr>
                  </w:pPr>
                  <w:r>
                    <w:t xml:space="preserve">The National Government, Provinces, their related entities, state-owned companies and public entities.</w:t>
                  </w:r>
                </w:p>
                <w:p>
                  <w:pPr>
                    <w:pStyle w:val="BodyText"/>
                  </w:pPr>
                  <w:pPr>
                    <w:pStyle w:val="ListParagraph"/>
                    <w:numPr>
                      <w:ilvl w:val="0"/>
                      <w:numId w:val="10"/>
                    </w:numPr>
                  </w:pPr>
                  <w:r>
                    <w:t xml:space="preserve">International organizations.</w:t>
                  </w:r>
                </w:p>
                <w:p>
                  <w:pPr>
                    <w:pStyle w:val="BodyText"/>
                  </w:pPr>
                  <w:pPr>
                    <w:pStyle w:val="ListParagraph"/>
                    <w:numPr>
                      <w:ilvl w:val="0"/>
                      <w:numId w:val="10"/>
                    </w:numPr>
                  </w:pPr>
                  <w:r>
                    <w:t xml:space="preserve">Public Trusts.</w:t>
                  </w:r>
                </w:p>
                <w:p>
                  <w:pPr>
                    <w:pStyle w:val="BodyText"/>
                  </w:pPr>
                  <w:pPr>
                    <w:pStyle w:val="ListParagraph"/>
                    <w:numPr>
                      <w:ilvl w:val="0"/>
                      <w:numId w:val="10"/>
                    </w:numPr>
                  </w:pPr>
                  <w:r>
                    <w:t xml:space="preserve">National Social Security Administration.</w:t>
                  </w:r>
                </w:p>
                <w:p>
                  <w:pPr>
                    <w:pStyle w:val="BodyText"/>
                  </w:pPr>
                  <w:pPr>
                    <w:pStyle w:val="ListParagraph"/>
                    <w:numPr>
                      <w:ilvl w:val="0"/>
                      <w:numId w:val="10"/>
                    </w:numPr>
                  </w:pPr>
                  <w:r>
                    <w:t xml:space="preserve">Pension Funds / Social Security Funds.</w:t>
                  </w:r>
                </w:p>
                <w:p>
                  <w:pPr>
                    <w:pStyle w:val="BodyText"/>
                  </w:pPr>
                  <w:pPr>
                    <w:pStyle w:val="ListParagraph"/>
                    <w:numPr>
                      <w:ilvl w:val="0"/>
                      <w:numId w:val="10"/>
                    </w:numPr>
                  </w:pPr>
                  <w:r>
                    <w:t xml:space="preserve">Financial entities.</w:t>
                  </w:r>
                </w:p>
                <w:p>
                  <w:pPr>
                    <w:pStyle w:val="BodyText"/>
                  </w:pPr>
                  <w:pPr>
                    <w:pStyle w:val="ListParagraph"/>
                    <w:numPr>
                      <w:ilvl w:val="0"/>
                      <w:numId w:val="10"/>
                    </w:numPr>
                  </w:pPr>
                  <w:r>
                    <w:t xml:space="preserve">Investment funds and Listed Financial Trusts.</w:t>
                  </w:r>
                </w:p>
                <w:p>
                  <w:pPr>
                    <w:pStyle w:val="BodyText"/>
                  </w:pPr>
                  <w:pPr>
                    <w:pStyle w:val="ListParagraph"/>
                    <w:numPr>
                      <w:ilvl w:val="0"/>
                      <w:numId w:val="10"/>
                    </w:numPr>
                  </w:pPr>
                  <w:r>
                    <w:t xml:space="preserve">Insurance companies.</w:t>
                  </w:r>
                </w:p>
                <w:p>
                  <w:pPr>
                    <w:pStyle w:val="BodyText"/>
                  </w:pPr>
                  <w:pPr>
                    <w:pStyle w:val="ListParagraph"/>
                    <w:numPr>
                      <w:ilvl w:val="0"/>
                      <w:numId w:val="10"/>
                    </w:numPr>
                  </w:pPr>
                  <w:r>
                    <w:t xml:space="preserve">Reciprocal Guarantee Companies</w:t>
                  </w:r>
                </w:p>
                <w:p>
                  <w:pPr>
                    <w:pStyle w:val="BodyText"/>
                  </w:pPr>
                  <w:pPr>
                    <w:pStyle w:val="ListParagraph"/>
                    <w:numPr>
                      <w:ilvl w:val="0"/>
                      <w:numId w:val="10"/>
                    </w:numPr>
                  </w:pPr>
                  <w:r>
                    <w:t xml:space="preserve">Entities registered with the CNV.</w:t>
                  </w:r>
                </w:p>
                <w:p>
                  <w:pPr>
                    <w:pStyle w:val="BodyText"/>
                  </w:pPr>
                  <w:pPr>
                    <w:pStyle w:val="ListParagraph"/>
                    <w:numPr>
                      <w:ilvl w:val="0"/>
                      <w:numId w:val="10"/>
                    </w:numPr>
                  </w:pPr>
                  <w:r>
                    <w:t xml:space="preserve">Legal entities and individuals, which possess investments in securities and/or deposits in financial entities for an amount of UVA 350,000 (approximately US$423,342).</w:t>
                  </w:r>
                </w:p>
                <w:p>
                  <w:pPr>
                    <w:pStyle w:val="BodyText"/>
                  </w:pPr>
                  <w:pPr>
                    <w:pStyle w:val="ListParagraph"/>
                    <w:numPr>
                      <w:ilvl w:val="0"/>
                      <w:numId w:val="10"/>
                    </w:numPr>
                  </w:pPr>
                  <w:r>
                    <w:t xml:space="preserve">Foreign legal entities or individuals.</w:t>
                  </w:r>
                </w:p>
                <w:p>
                  <w:pPr>
                    <w:pStyle w:val="BodyText"/>
                  </w:pPr>
                  <w:r>
                    <w:t xml:space="preserve">There are no industries for which the normal listing or maintenance rules do not apply or apply only in a modified form. In addition, the BYMA does not have a "fast track" or expedited listing procedure.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Foreign companies listed on the BYMA are required to set up a permanent establishment under the terms of Section 118 of Companies Law No. 19,550 and to determine a specific domicile in Argentina, where all judicial or extrajudicial notices related to the public offering will be served.</w:t>
                  </w:r>
                </w:p>
                <w:p>
                  <w:pPr>
                    <w:pStyle w:val="BodyText"/>
                  </w:pPr>
                  <w:r>
                    <w:t xml:space="preserve">In this regard, foreign companies must act either through a permanent representation office (a Branch) or a local company (a Subsidiary). No agents for service of process, resident directors, corporate offices or their equivalent are required.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Companies wishing to make a public offering of their securities must pay to the CNV an initial fee (</w:t>
                  </w:r>
                  <w:r>
                    <w:rPr>
                      <w:i/>
                    </w:rPr>
                    <w:t xml:space="preserve">aranceles de autorización</w:t>
                  </w:r>
                  <w:r>
                    <w:t xml:space="preserve">) of 0.05% of the total amount issued. In addition, an audit fee of ARS 2,805,000 (US$1,935) must be paid annually.</w:t>
                  </w:r>
                </w:p>
                <w:p>
                  <w:pPr>
                    <w:pStyle w:val="BodyText"/>
                  </w:pPr>
                  <w:r>
                    <w:t xml:space="preserve">Additional costs must be taken into account, such as those of the broker, lawyers and accountants in connection with preparing the prospectus, negotiating with the CNV, arranging for the listing and registration of securities, and drafting and negotiating the related agreements.</w:t>
                  </w:r>
                </w:p>
                <w:p>
                  <w:pPr>
                    <w:pStyle w:val="BodyText"/>
                  </w:pPr>
                  <w:r>
                    <w:t xml:space="preserve">If the listing is combined with an offering, the underwriting bank will charge a commission for its services (usually defined as a percentage of the offering proceeds) and also charge its out-of-pocket expenses. In larger offerings, a financial communications firm may also be involved to assist in the preparation of marketing materials.</w:t>
                  </w:r>
                </w:p>
                <w:p>
                  <w:pPr>
                    <w:pStyle w:val="BodyText"/>
                  </w:pPr>
                  <w:r>
                    <w:t xml:space="preserve">Annual fees are also payable to the Exchange, to be paid quarterly and calculated using a formula that combines a fixed scale of fees based on the corporate capital of the relevant company, with an additional percentage amount (different for each range) over the exceeding minimum corporate capital amount of the corresponding range of the scale.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information or materials submitted to the BYMA and the CNV must be translated into Spanish by a sworn public translator, with signature legalized by the corresponding professional board, certifying that the corresponding translations are a faithful copy of the information filed by the issuer at the applicable foreign country.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Gabriel Gómez Giglio and Francisco Fernández Rostello in the Buenos Aires office are the most appropriate contacts within Baker McKenzie for inquiries about prospective listings on the BYMA.</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buenos-aireslisting-doc-and-proc.pdf?rev=f9b7c89c6362412998421206267423e9" TargetMode="External" Id="R27c75a55554549d8" /><Relationship Type="http://schemas.openxmlformats.org/officeDocument/2006/relationships/hyperlink" Target="https://resourcehub.bakermckenzie.com/en/-/media/crossborder-listings-handbook/files/2020-update-8th-edition/buenos-aireslisting-process.pdf?rev=14d93473b51a43c794f1fcaefb8365d1" TargetMode="External" Id="Rccdb9de849a04a8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