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China</w:t>
      </w:r>
      <w:r w:rsidR="00480329"/>
    </w:p>
    <w:p w:rsidRPr="00BC7873" w:rsidR="00BC7873" w:rsidP="00D354EF" w:rsidRDefault="00051AB4" w14:paraId="2476CC56" w14:textId="2FB25FA9">
      <w:pPr>
        <w:pStyle w:val="Title"/>
      </w:pPr>
      <w:r w:rsidRPr="00BC7873">
        <w:t>3. What types of activities require a license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types of activities require a license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PRC regulators oversee a broad range of activities, as follows:</w:t>
              </w:r>
            </w:p>
            <w:p>
              <w:pPr>
                <w:pStyle w:val="BodyText"/>
              </w:pPr>
              <w:pPr>
                <w:pStyle w:val="ListParagraph"/>
                <w:numPr>
                  <w:ilvl w:val="0"/>
                  <w:numId w:val="9"/>
                </w:numPr>
              </w:pPr>
              <w:r>
                <w:t xml:space="preserve">Setting up a bank would require approval from the NFRA.</w:t>
              </w:r>
            </w:p>
            <w:p>
              <w:pPr>
                <w:pStyle w:val="BodyText"/>
              </w:pPr>
              <w:pPr>
                <w:pStyle w:val="ListParagraph"/>
                <w:numPr>
                  <w:ilvl w:val="0"/>
                  <w:numId w:val="9"/>
                </w:numPr>
              </w:pPr>
              <w:r>
                <w:t xml:space="preserve">A bank would need to apply for a separate NFRA approval for certain business activities, such as issuing bankcards, acting as custodian for securities investment funds, derivative business, electronic banking, foreign exchange business, and wealth management.</w:t>
              </w:r>
            </w:p>
            <w:p>
              <w:pPr>
                <w:pStyle w:val="BodyText"/>
              </w:pPr>
              <w:pPr>
                <w:pStyle w:val="ListParagraph"/>
                <w:numPr>
                  <w:ilvl w:val="0"/>
                  <w:numId w:val="9"/>
                </w:numPr>
              </w:pPr>
              <w:r>
                <w:t xml:space="preserve">Setting up an insurance company, insurance assets management company, insurance agency, and insurance brokerage would require approval from the NFRA.</w:t>
              </w:r>
            </w:p>
            <w:p>
              <w:pPr>
                <w:pStyle w:val="BodyText"/>
              </w:pPr>
              <w:pPr>
                <w:pStyle w:val="ListParagraph"/>
                <w:numPr>
                  <w:ilvl w:val="0"/>
                  <w:numId w:val="9"/>
                </w:numPr>
              </w:pPr>
              <w:r>
                <w:t xml:space="preserve">Setting up a securities company, fund investment company, futures company and investment advisory institution would require approval from the CSRC.</w:t>
              </w:r>
            </w:p>
            <w:p>
              <w:pPr>
                <w:pStyle w:val="BodyText"/>
              </w:pPr>
              <w:pPr>
                <w:pStyle w:val="ListParagraph"/>
                <w:numPr>
                  <w:ilvl w:val="0"/>
                  <w:numId w:val="9"/>
                </w:numPr>
              </w:pPr>
              <w:r>
                <w:t xml:space="preserve">Setting up a non-financial institution payment service provider (including prepaid card issuance, bankcard acquiring, internet payment, etc.) would require approval from the PBOC.</w:t>
              </w:r>
            </w:p>
            <w:p>
              <w:pPr>
                <w:pStyle w:val="BodyText"/>
              </w:pPr>
              <w:pPr>
                <w:pStyle w:val="ListParagraph"/>
                <w:numPr>
                  <w:ilvl w:val="0"/>
                  <w:numId w:val="9"/>
                </w:numPr>
              </w:pPr>
              <w:r>
                <w:t xml:space="preserve">Setting up a bankcard clearing institution would require approval from the PBOC.</w:t>
              </w:r>
            </w:p>
            <w:p>
              <w:pPr>
                <w:pStyle w:val="BodyText"/>
              </w:pPr>
              <w:r>
                <w:t xml:space="preserve">Cryptoassets and cryptocurrencies-related activities are prohibited in China.  In particular:</w:t>
              </w:r>
            </w:p>
            <w:p>
              <w:pPr>
                <w:pStyle w:val="BodyText"/>
              </w:pPr>
              <w:pPr>
                <w:pStyle w:val="ListParagraph"/>
                <w:numPr>
                  <w:ilvl w:val="0"/>
                  <w:numId w:val="10"/>
                </w:numPr>
              </w:pPr>
              <w:r>
                <w:t xml:space="preserve">Financial institutions and Payment Service Providers are prohibited from undertaking any business in relation to Bitcoin.</w:t>
              </w:r>
            </w:p>
            <w:p>
              <w:pPr>
                <w:pStyle w:val="BodyText"/>
              </w:pPr>
              <w:pPr>
                <w:pStyle w:val="ListParagraph"/>
                <w:numPr>
                  <w:ilvl w:val="0"/>
                  <w:numId w:val="10"/>
                </w:numPr>
              </w:pPr>
              <w:r>
                <w:t xml:space="preserve">Initial coin (i.e., cryptoassets and cryptocurrencies) offering is prohibited.</w:t>
              </w:r>
            </w:p>
            <w:p>
              <w:pPr>
                <w:pStyle w:val="BodyText"/>
              </w:pPr>
              <w:pPr>
                <w:pStyle w:val="ListParagraph"/>
                <w:numPr>
                  <w:ilvl w:val="0"/>
                  <w:numId w:val="10"/>
                </w:numPr>
              </w:pPr>
              <w:r>
                <w:t xml:space="preserve">Online platforms of cryptoassets and cryptocurrencies are prohibited from providing services (including but not limited to trading services) in relation to such assets and currencies in China.</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