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Malaysia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Malaysia</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 </w:t>
                  </w:r>
                </w:p>
                <w:p>
                  <w:pPr>
                    <w:pStyle w:val="BodyText"/>
                  </w:pPr>
                  <w:r>
                    <w:t xml:space="preserve">The regulatory regime can appear disorderly due to the intricate interplay of rules and regulations that are subject to government policy relating to the industry in which the target company is operating.</w:t>
                  </w:r>
                </w:p>
                <w:p>
                  <w:pPr>
                    <w:pStyle w:val="BodyText"/>
                  </w:pPr>
                  <w:r>
                    <w:t xml:space="preserve">Not all governmental policies are written, and the guidelines or directives issued by the relevant regulators may not be publicly available for inspection. Therefore, it is common, as part of due diligence, to contact regulators to confirm the latest policy positions. It is also common for companies to hold "grandfathered" licenses that may not reflect the latest policy positions (for example, the  shareholding structure under an existing license may not comply with the latest equity requirements that would apply to a new license application made today). This would present difficulties and trigger regulatory approval requirements in a proposed share transfer.</w:t>
                  </w:r>
                </w:p>
                <w:p>
                  <w:pPr>
                    <w:pStyle w:val="BodyText"/>
                  </w:pPr>
                  <w:r>
                    <w:t xml:space="preserve">It is important to inspect and review the internal documents of the target company and not to rely on public searches. Information obtained from searches conducted on registers that are maintained by governmental or other regulatory authorities may not be current (due to delays in updating information) or may be inaccurately recorded in those registers by the relevant authorities.</w:t>
                  </w:r>
                </w:p>
                <w:p>
                  <w:pPr>
                    <w:pStyle w:val="BodyText"/>
                  </w:pPr>
                  <w:r>
                    <w:t xml:space="preserve">There is no official centralized database from which litigation searches may be conducted. However, searches may be conducted at the relevant court registers if the buyer has details of the relevant litigation proceedings.</w:t>
                  </w:r>
                </w:p>
                <w:p>
                  <w:pPr>
                    <w:pStyle w:val="BodyText"/>
                  </w:pPr>
                  <w:r>
                    <w:rPr>
                      <w:b/>
                    </w:rPr>
                    <w:t xml:space="preserve">Pricing and payment </w:t>
                  </w:r>
                </w:p>
                <w:p>
                  <w:pPr>
                    <w:pStyle w:val="BodyText"/>
                  </w:pPr>
                  <w:r>
                    <w:rPr>
                      <w:i/>
                    </w:rPr>
                    <w:t xml:space="preserve">Share sale</w:t>
                  </w:r>
                </w:p>
                <w:p>
                  <w:pPr>
                    <w:pStyle w:val="BodyText"/>
                  </w:pPr>
                  <w:r>
                    <w:t xml:space="preserve">A resident is allowed to make or receive payment in Malaysian ringgit or foreign currency in Malaysia to or from a non-resident for the settlement of shares in a Malaysian company.</w:t>
                  </w:r>
                </w:p>
                <w:p>
                  <w:pPr>
                    <w:pStyle w:val="BodyText"/>
                  </w:pPr>
                  <w:r>
                    <w:rPr>
                      <w:i/>
                    </w:rPr>
                    <w:t xml:space="preserve">Asset sale</w:t>
                  </w:r>
                </w:p>
                <w:p>
                  <w:pPr>
                    <w:pStyle w:val="BodyText"/>
                  </w:pPr>
                  <w:r>
                    <w:t xml:space="preserve">In an asset sale, unless the foreign buyer already has an existing entity in Malaysia, a foreign buyer must first incorporate a local company or, if the buyer is a foreign company, register a branch with the Companies Commission of Malaysia before undertaking the business of the transferred assets.</w:t>
                  </w:r>
                </w:p>
                <w:p>
                  <w:pPr>
                    <w:pStyle w:val="BodyText"/>
                  </w:pPr>
                  <w:r>
                    <w:t xml:space="preserve">The registered branch of a foreign company is treated as a resident for exchange control purposes. Payment between residents for a Malaysian asset must be made in the Malaysian local currency (Malaysian ringgit) (even where the payment for the asset transfer is to be settled between foreign shareholders outside of Malaysia) unless the prior written approval of Bank Negara Malaysia (BNM), the central bank of Malaysia, has been obtained for such payment to be made in foreign currency.</w:t>
                  </w:r>
                </w:p>
                <w:p>
                  <w:pPr>
                    <w:pStyle w:val="BodyText"/>
                  </w:pPr>
                  <w:r>
                    <w:rPr>
                      <w:b/>
                    </w:rPr>
                    <w:t xml:space="preserve">Signing/closing </w:t>
                  </w:r>
                </w:p>
                <w:p>
                  <w:pPr>
                    <w:pStyle w:val="BodyText"/>
                  </w:pPr>
                  <w:r>
                    <w:rPr>
                      <w:i/>
                    </w:rPr>
                    <w:t xml:space="preserve">Is a deposit required?</w:t>
                  </w:r>
                </w:p>
                <w:p>
                  <w:pPr>
                    <w:pStyle w:val="BodyText"/>
                  </w:pPr>
                  <w:r>
                    <w:t xml:space="preserve">No, a deposit is not legally required. Deposit  payments are commonly requested by local sellers but foreign buyers will typically push back.</w:t>
                  </w:r>
                </w:p>
                <w:p>
                  <w:pPr>
                    <w:pStyle w:val="BodyText"/>
                  </w:pPr>
                  <w:r>
                    <w:rPr>
                      <w:i/>
                    </w:rPr>
                    <w:t xml:space="preserve">Is simultaneous signing/closing common?</w:t>
                  </w:r>
                </w:p>
                <w:p>
                  <w:pPr>
                    <w:pStyle w:val="BodyText"/>
                  </w:pPr>
                  <w:r>
                    <w:t xml:space="preserve">Simultaneous signing and closing is not common for the following reasons:</w:t>
                  </w:r>
                </w:p>
                <w:p>
                  <w:pPr>
                    <w:pStyle w:val="BodyText"/>
                  </w:pPr>
                  <w:pPr>
                    <w:pStyle w:val="ListParagraph"/>
                    <w:numPr>
                      <w:ilvl w:val="0"/>
                      <w:numId w:val="14"/>
                    </w:numPr>
                  </w:pPr>
                  <w:r>
                    <w:t xml:space="preserve">Most industries are regulated and regulatory approvals are typically required for an asset sale or share sale. The approval process can often be lengthy and involve several regulatory bodies.</w:t>
                  </w:r>
                </w:p>
                <w:p>
                  <w:pPr>
                    <w:pStyle w:val="BodyText"/>
                  </w:pPr>
                  <w:pPr>
                    <w:pStyle w:val="ListParagraph"/>
                    <w:numPr>
                      <w:ilvl w:val="0"/>
                      <w:numId w:val="14"/>
                    </w:numPr>
                  </w:pPr>
                  <w:r>
                    <w:t xml:space="preserve">Licenses are not transferable and the buyer in an asset sale will have to apply for new licenses, permits or approvals to carry on the transferred business prior to closing.</w:t>
                  </w:r>
                </w:p>
                <w:p>
                  <w:pPr>
                    <w:pStyle w:val="BodyText"/>
                  </w:pPr>
                  <w:pPr>
                    <w:pStyle w:val="ListParagraph"/>
                    <w:numPr>
                      <w:ilvl w:val="0"/>
                      <w:numId w:val="14"/>
                    </w:numPr>
                  </w:pPr>
                  <w:r>
                    <w:t xml:space="preserve">Unless the foreign buyer already has an existing entity in Malaysia to acquire the assets, a new entity needs to be incorporated, which will result in a gap between signing and closing in an asset sale.</w:t>
                  </w:r>
                </w:p>
                <w:p>
                  <w:pPr>
                    <w:pStyle w:val="BodyText"/>
                  </w:pPr>
                  <w:r>
                    <w:t xml:space="preserve">It is possible for signing and closing to occur simultaneously when no regulatory approvals or other conditions precedent are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Malaysia does not have a foreign investment screening procedure. However, foreign investment is regulated by way of imposing foreign equity restrictions and/or “Bumiputera”/local participation requirements in Malaysia. For further information, see the more detailed section on "Foreign investment restrictions".</w:t>
                  </w:r>
                </w:p>
                <w:p>
                  <w:pPr>
                    <w:pStyle w:val="BodyText"/>
                  </w:pPr>
                  <w:r>
                    <w:rPr>
                      <w:b/>
                    </w:rPr>
                    <w:t xml:space="preserve">Antitrust/merger control </w:t>
                  </w:r>
                </w:p>
                <w:p>
                  <w:pPr>
                    <w:pStyle w:val="BodyText"/>
                  </w:pPr>
                  <w:r>
                    <w:t xml:space="preserve">Merger control in Malaysia currently only applies to mergers in the aviation service market and communications market, and notification is voluntary. There are no specified jurisdictional thresholds for authorities to investigate a merger, but the Malaysian Aviation Commission (“</w:t>
                  </w:r>
                  <w:r>
                    <w:rPr>
                      <w:b/>
                    </w:rPr>
                    <w:t xml:space="preserve">MAVCOM</w:t>
                  </w:r>
                  <w:r>
                    <w:t xml:space="preserve">”) is more likely to investigate a merger where the combined turnover in Malaysia, or worldwide, meets certain thresholds. Licensees under the Communications and Multimedia Act 1998 (“</w:t>
                  </w:r>
                  <w:r>
                    <w:rPr>
                      <w:b/>
                    </w:rPr>
                    <w:t xml:space="preserve">CMA</w:t>
                  </w:r>
                  <w:r>
                    <w:t xml:space="preserve">”) may also apply for authorization, which allows for conduct including mergers that could potentially result in substantial lessening of competition. This process is separate from the voluntary merger assessment regime and an application can be submitted at different times or without it. For further information, see the more detailed section on "Antitrust/merger control".</w:t>
                  </w:r>
                </w:p>
                <w:p>
                  <w:pPr>
                    <w:pStyle w:val="BodyText"/>
                  </w:pPr>
                  <w:r>
                    <w:rPr>
                      <w:b/>
                    </w:rPr>
                    <w:t xml:space="preserve">Other regulatory or government approvals</w:t>
                  </w:r>
                </w:p>
                <w:p>
                  <w:pPr>
                    <w:pStyle w:val="BodyText"/>
                  </w:pPr>
                  <w:r>
                    <w:t xml:space="preserve">Generally, government policy (rather than statute) limits acquisitions in specific industries, although certain Malaysian legislation sets caps on foreign equity participation in Malaysian companies operating in particular industries.</w:t>
                  </w:r>
                </w:p>
                <w:p>
                  <w:pPr>
                    <w:pStyle w:val="BodyText"/>
                  </w:pPr>
                  <w:r>
                    <w:t xml:space="preserve">An example is that foreign business operators engaged in "distributive trade services" in Malaysia are recommended to obtain the approval of the Ministry of Domestic Trade and Costs of Living before commencing operations under the Guidelines on Foreign Participation in the Distributive Trade Services Malaysia 2020 (“</w:t>
                  </w:r>
                  <w:r>
                    <w:rPr>
                      <w:b/>
                    </w:rPr>
                    <w:t xml:space="preserve">DTG</w:t>
                  </w:r>
                  <w:r>
                    <w:t xml:space="preserve">”). There are shareholding restrictions depending on the format of distribution (such as hypermarkets and convenience stores).</w:t>
                  </w:r>
                </w:p>
                <w:p>
                  <w:pPr>
                    <w:pStyle w:val="BodyText"/>
                  </w:pPr>
                  <w:r>
                    <w:t xml:space="preserve">The DTG is not law and it represents the Malaysian government's current policy. Although there are no legal sanctions against non-compliance, the DTG is enforced administratively via the refusal to register new business branches of foreign companies or through licensing restrictions and the issuance of immigration passes by other regulatory authorities (such as the immigration department).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a share sale, there is no change of employer, as the employees remain employed by the target company post-share sale. As such, no </w:t>
                  </w:r>
                  <w:r>
                    <w:t xml:space="preserve">consent by employees is required.</w:t>
                  </w:r>
                </w:p>
                <w:p>
                  <w:pPr>
                    <w:pStyle w:val="BodyText"/>
                  </w:pPr>
                  <w:r>
                    <w:rPr>
                      <w:b/>
                    </w:rPr>
                    <w:t xml:space="preserve">Asset sale</w:t>
                  </w:r>
                </w:p>
                <w:p>
                  <w:pPr>
                    <w:pStyle w:val="BodyText"/>
                  </w:pPr>
                  <w:r>
                    <w:t xml:space="preserve">There is no automatic transfer of employees in a business or asset sale in Malaysia, and an employer cannot unilaterally transfer an employee to another employer without the employee's consent. The employees must either resign or be terminated by the seller and offered new employment by the buyer.</w:t>
                  </w:r>
                </w:p>
                <w:p>
                  <w:pPr>
                    <w:pStyle w:val="BodyText"/>
                  </w:pPr>
                  <w:r>
                    <w:t xml:space="preserve">If the employees earn MYR 4,000 per month or less, or are engaged in specified blue-collar work (e.g., manual labor, supervising manual labor or operating a motor vehicle) regardless of wages, the payment of termination benefits may be required by the seller, under the Malaysian Employment Act, unless the statutory conditions are met. The provision of minimum termination notice or payment of salary in lieu (which applies to all employees) as prescribed under the Malaysian Employment Act, Sarawak Labour Ordinance and Sabah Labour Ordinance may also be required, depending on the employee transfer route.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a share sale, stamp duty is payable on the share transfer form, as the instrument of transfer (and not the definitive agreement), at a rate of 0.3% of the higher of the consideration price or market value of the shares (calculated based on the net tangible assets value).</w:t>
                  </w:r>
                </w:p>
                <w:p>
                  <w:pPr>
                    <w:pStyle w:val="BodyText"/>
                  </w:pPr>
                  <w:r>
                    <w:t xml:space="preserve">Capital gains tax (“</w:t>
                  </w:r>
                  <w:r>
                    <w:rPr>
                      <w:b/>
                    </w:rPr>
                    <w:t xml:space="preserve">CGT</w:t>
                  </w:r>
                  <w:r>
                    <w:t xml:space="preserve">”) is payable on the gains derived from the disposal of the following assets where the disposer is a company, limited liability partnership, trust body or co-operative society, from 1 March 2024 onwards:</w:t>
                  </w:r>
                </w:p>
                <w:p>
                  <w:pPr>
                    <w:pStyle w:val="BodyText"/>
                  </w:pPr>
                  <w:pPr>
                    <w:pStyle w:val="ListParagraph"/>
                    <w:numPr>
                      <w:ilvl w:val="0"/>
                      <w:numId w:val="12"/>
                    </w:numPr>
                  </w:pPr>
                  <w:r>
                    <w:t xml:space="preserve">shares of an unlisted company incorporated in Malaysia</w:t>
                  </w:r>
                </w:p>
                <w:p>
                  <w:pPr>
                    <w:pStyle w:val="BodyText"/>
                  </w:pPr>
                  <w:pPr>
                    <w:pStyle w:val="ListParagraph"/>
                    <w:numPr>
                      <w:ilvl w:val="0"/>
                      <w:numId w:val="12"/>
                    </w:numPr>
                  </w:pPr>
                  <w:r>
                    <w:t xml:space="preserve">shares of a company incorporated outside Malaysia, where such company derives value from real property situated in Malaysia (i.e., at least 75% of the foreign company’s total tangible assets comprise of real property situated in Malaysia and/or shares in another company that itself holds at least 75% Malaysian real property)</w:t>
                  </w:r>
                </w:p>
                <w:p>
                  <w:pPr>
                    <w:pStyle w:val="BodyText"/>
                  </w:pPr>
                  <w:pPr>
                    <w:pStyle w:val="ListParagraph"/>
                    <w:numPr>
                      <w:ilvl w:val="0"/>
                      <w:numId w:val="12"/>
                    </w:numPr>
                  </w:pPr>
                  <w:r>
                    <w:t xml:space="preserve">moveable or immovable property outside Malaysia, where the gains or profits are subsequently received in Malaysia</w:t>
                  </w:r>
                </w:p>
                <w:p>
                  <w:pPr>
                    <w:pStyle w:val="BodyText"/>
                  </w:pPr>
                  <w:r>
                    <w:t xml:space="preserve">CGT is generally imposed at a rate of 10% on net gains, or where the shares disposed of were previously acquired before 1 January 2024, there is an option to elect to pay CGT at 2% on gross disposal price.</w:t>
                  </w:r>
                </w:p>
                <w:p>
                  <w:pPr>
                    <w:pStyle w:val="BodyText"/>
                  </w:pPr>
                  <w:r>
                    <w:t xml:space="preserve">For real property gains tax (“</w:t>
                  </w:r>
                  <w:r>
                    <w:rPr>
                      <w:b/>
                    </w:rPr>
                    <w:t xml:space="preserve">RPGT</w:t>
                  </w:r>
                  <w:r>
                    <w:t xml:space="preserve">”). Please see "Asset sale" below in respect of RPC Shares. With the introduction of CGT, RPGT will no longer apply to disposals of shares by a company, LLP, trust body or co-operative society, from 1 January 2024 onwards, as such disposals would be subject to CGT. Gains derived by individuals from the disposal of RPC Shares would continue to be subject to RPGT.</w:t>
                  </w:r>
                </w:p>
                <w:p>
                  <w:pPr>
                    <w:pStyle w:val="BodyText"/>
                  </w:pPr>
                  <w:r>
                    <w:rPr>
                      <w:b/>
                    </w:rPr>
                    <w:t xml:space="preserve">Asset sale</w:t>
                  </w:r>
                </w:p>
                <w:p>
                  <w:pPr>
                    <w:pStyle w:val="BodyText"/>
                  </w:pPr>
                  <w:r>
                    <w:t xml:space="preserve">In an asset sale, stamp duty</w:t>
                  </w:r>
                  <w:r>
                    <w:rPr>
                      <w:b/>
                    </w:rPr>
                    <w:t xml:space="preserve"> </w:t>
                  </w:r>
                  <w:r>
                    <w:t xml:space="preserve">is levied on the instruments of transfer (such as an asset transfer agreement or assignment agreement) and is charged on an ad valorem basis, calculated on the higher of the market value of the property and the consideration paid, whichever higher. The applicable stamp duty rates vary depending on the asset transferred and the purchaser, namely:</w:t>
                  </w:r>
                </w:p>
                <w:p>
                  <w:pPr>
                    <w:pStyle w:val="BodyText"/>
                  </w:pPr>
                  <w:pPr>
                    <w:pStyle w:val="ListParagraph"/>
                    <w:numPr>
                      <w:ilvl w:val="0"/>
                      <w:numId w:val="13"/>
                    </w:numPr>
                  </w:pPr>
                  <w:r>
                    <w:t xml:space="preserve">General rates: Stamp duty is imposed at an </w:t>
                  </w:r>
                  <w:r>
                    <w:rPr>
                      <w:i/>
                    </w:rPr>
                    <w:t xml:space="preserve">ad valorem</w:t>
                  </w:r>
                  <w:r>
                    <w:t xml:space="preserve"> rates of 1% on the first MYR 100,000, 2% on the next MYR 400,000, 3% on the next MYR 500,000 and 4% on any amount in excess of MYR 1 million</w:t>
                  </w:r>
                </w:p>
                <w:p>
                  <w:pPr>
                    <w:pStyle w:val="BodyText"/>
                  </w:pPr>
                  <w:pPr>
                    <w:pStyle w:val="ListParagraph"/>
                    <w:numPr>
                      <w:ilvl w:val="0"/>
                      <w:numId w:val="13"/>
                    </w:numPr>
                  </w:pPr>
                  <w:r>
                    <w:t xml:space="preserve">Foreign purchasers (with effect from 1 January 2024): Where the purchaser is a foreign company, or a person who is not a citizen nor permanent resident, stamp duty is imposed at a flat rate of 4%</w:t>
                  </w:r>
                </w:p>
                <w:p>
                  <w:pPr>
                    <w:pStyle w:val="BodyText"/>
                  </w:pPr>
                  <w:pPr>
                    <w:pStyle w:val="ListParagraph"/>
                    <w:numPr>
                      <w:ilvl w:val="0"/>
                      <w:numId w:val="13"/>
                    </w:numPr>
                  </w:pPr>
                  <w:r>
                    <w:t xml:space="preserve">Residential property acquired by foreign purchasers (from 1 January 2026): The sale of residential property to foreign company, or a person who is not a citizen nor permanent resident, is subject to stamp duty at a flat rate of 8%</w:t>
                  </w:r>
                </w:p>
                <w:p>
                  <w:pPr>
                    <w:pStyle w:val="BodyText"/>
                  </w:pPr>
                  <w:r>
                    <w:t xml:space="preserve">The instrument of transfer must be submitted to the stamp office for adjudication within: (i) 30 days of the date of execution if executed in Malaysia; or (ii) 30 days after it was received in Malaysia if executed outside of Malaysia. The stamp duty must be paid within 30 days from the date of the notice of assessment issued by the stamp office.</w:t>
                  </w:r>
                </w:p>
                <w:p>
                  <w:pPr>
                    <w:pStyle w:val="BodyText"/>
                  </w:pPr>
                  <w:r>
                    <w:t xml:space="preserve">Malaysia is implementing a self‑assessment regime for stamp duty in phases since 1 January 2026, including for instruments effecting transfers of ownership, which is scheduled to take effect from 1 January 2027. Until then, instruments for the transfer of ownership remain subject to the adjudication process under the Stamp Act 1949.</w:t>
                  </w:r>
                </w:p>
                <w:p>
                  <w:pPr>
                    <w:pStyle w:val="BodyText"/>
                  </w:pPr>
                  <w:r>
                    <w:rPr>
                      <w:b/>
                    </w:rPr>
                    <w:t xml:space="preserve">RPGT</w:t>
                  </w:r>
                  <w:r>
                    <w:t xml:space="preserve"> is imposed on gains arising from the disposal of real properties or the disposal of shares in a real property company (i.e., where real property forms 75% or more of the tangible assets of such company) (</w:t>
                  </w:r>
                  <w:r>
                    <w:rPr>
                      <w:b/>
                    </w:rPr>
                    <w:t xml:space="preserve">"RPC Shares</w:t>
                  </w:r>
                  <w:r>
                    <w:t xml:space="preserve">") at a sliding rate of 10% to 30% depending on the holding period of the real property and whether the seller is a company incorporated in Malaysia, a citizen or a permanent resident. Where RPGT is payable: (i) the buyer must retain 3% of the purchase price (7% if the seller is not a citizen, permanent resident or a company incorporated in Malaysia) and they must pay such amount to the Inland Revenue Board (IRB) within 60 days of the disposal of the real property or the RPC Shares ("</w:t>
                  </w:r>
                  <w:r>
                    <w:rPr>
                      <w:b/>
                    </w:rPr>
                    <w:t xml:space="preserve">Date of Disposal</w:t>
                  </w:r>
                  <w:r>
                    <w:t xml:space="preserve">"); and (ii) both the seller and buyer must file returns for the RPGT in the forms prescribed by the IRB to the IRB within 60 days from the Date of Disposal. From 1 January 2022 onwards, the retention rate of 3% was increased to 5% for disposals by a company incorporated in Malaysia within three years from the date of acquisition of the real property or RPC Shares.</w:t>
                  </w:r>
                </w:p>
                <w:p>
                  <w:pPr>
                    <w:pStyle w:val="BodyText"/>
                  </w:pPr>
                  <w:r>
                    <w:t xml:space="preserve">Effective 1 January 2025, RPGT has transitioned from an assessment-based regime to a self‑assessment regime, under which the disposer is required to self‑assess the chargeable gain and RPGT payable in the prescribed return. Upon submission of the return, the RPGT declared by the disposer is deemed to be an assessment made on the disposer by the Director General of Inland Revenue.</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w:t>
                  </w:r>
                  <w:r>
                    <w:rPr>
                      <w:b/>
                    </w:rPr>
                    <w:t xml:space="preserve">“ETR”</w:t>
                  </w:r>
                  <w:r>
                    <w:t xml:space="preserve">) of 15% for large businesses in each jurisdiction where they operate and will lead to fundamental changes in the international tax system. It is currently being implemented in many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p>
                  <w:pPr>
                    <w:pStyle w:val="BodyText"/>
                  </w:pPr>
                  <w:r>
                    <w:t xml:space="preserve">In Malaysia, the OECD Pillar Two rules were incorporated into the Malaysian Income Tax Act 1967 and these provisions came into effect from 1 January 2025. As a result, where the application of tax incentives leads to an ETR below the minimum threshold of 15%, affected entities may be subject to a top‑up tax to bring the effective tax rate up to that level. This may reduce the effectiveness or economic value of existing tax incentives and as such, there have been announcements and indications that substitute incentive mechanisms may be introduced to replace or supplement existing income‑based tax incentives. However, no official legislation, detailed guidance or confirmed implementation timeline has been issued, and the scope and design of any such incentives remain subject to further announcement.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fe39bd897f824bf1">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in other jurisdictions, the acquisition of a business in Malaysia may be structured as either a sale of shares or a sale of assets (or a combination of the two). In particular, the buyer may purchase the shares of the company operating the business from its shareholders or purchase the assets of the business directly from that company.</w:t>
                  </w:r>
                </w:p>
                <w:p>
                  <w:pPr>
                    <w:pStyle w:val="BodyText"/>
                  </w:pPr>
                  <w:r>
                    <w:t xml:space="preserve">Auction processes are not uncommon in Malaysia and are becoming increasingly prevalent, especially when they involve significant target businesses. They are customary for businesses being sold by private equity firms and large corporations. Bid letters are widely used to regulate the auction process. Typically, the sellers may require the bidders to submit an indicative non-binding bid based on limited information, followed by a final, binding bid upon the completion of a reasonably extensive due diligence exercise.</w:t>
                  </w:r>
                </w:p>
                <w:p>
                  <w:pPr>
                    <w:pStyle w:val="BodyText"/>
                  </w:pPr>
                  <w:r>
                    <w:t xml:space="preserve">Malaysia has provisions in its Companies Act for schemes of arrangement, which involves a court-convened meeting to approve the scheme followed by the sanction of the high court if requisite majorities are obtained at the court-convened meeting. The Companies Act also contains provisions to facilitate schemes of the amalgamation of companies, which are often used in corporate reorganizations.</w:t>
                  </w:r>
                </w:p>
                <w:p>
                  <w:pPr>
                    <w:pStyle w:val="BodyText"/>
                  </w:pPr>
                  <w:r>
                    <w:t xml:space="preserve">In addition to the sale of shares, assets or businesses, and schemes of arrangement and amalgamation, there are provisions in certain statutes (such as the Financial Services Act and the Capital Markets and Services Act) that enable the transfer of assets and liabilities through vesting orders issued by a court following the approval of the transaction by the sectoral regulatory authority. The foregoing methods of effecting mergers often involve one or more of the following:</w:t>
                  </w:r>
                </w:p>
                <w:p>
                  <w:pPr>
                    <w:pStyle w:val="BodyText"/>
                  </w:pPr>
                  <w:pPr>
                    <w:pStyle w:val="ListParagraph"/>
                    <w:numPr>
                      <w:ilvl w:val="0"/>
                      <w:numId w:val="11"/>
                    </w:numPr>
                  </w:pPr>
                  <w:r>
                    <w:t xml:space="preserve">Transferring one company's business assets to another company, followed by the liquidation or disposal of the transferor company.</w:t>
                  </w:r>
                </w:p>
                <w:p>
                  <w:pPr>
                    <w:pStyle w:val="BodyText"/>
                  </w:pPr>
                  <w:pPr>
                    <w:pStyle w:val="ListParagraph"/>
                    <w:numPr>
                      <w:ilvl w:val="0"/>
                      <w:numId w:val="11"/>
                    </w:numPr>
                  </w:pPr>
                  <w:r>
                    <w:t xml:space="preserve">Establishing a new company that acquires the assets of two or more entities that, following the transfer of assets, are liquidated or disposed of.</w:t>
                  </w:r>
                </w:p>
                <w:p>
                  <w:pPr>
                    <w:pStyle w:val="BodyText"/>
                  </w:pPr>
                  <w:pPr>
                    <w:pStyle w:val="ListParagraph"/>
                    <w:numPr>
                      <w:ilvl w:val="0"/>
                      <w:numId w:val="11"/>
                    </w:numPr>
                  </w:pPr>
                  <w:r>
                    <w:t xml:space="preserve">Transferring the shares in one company (company A) to another company (company B), followed by the liquidation of company A and a distribution of its assets in its present form (in specie) to company B.</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Companies Act, a company may be limited by shares, limited by guarantee or unlimited. The usual form of a subsidiary company is a company limited by shares. If a company is limited by shares, the liability of its members (shareholders) is limited to the amount, if any, unpaid on their shares.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Companies limited by shares and companies limited by guarantee.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limit of the number of members is 50 (exclusive of employee members) for private companies. There is no limit for public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share acquisition is generally simpler to implement from both the seller's and buyer's point of view. A share acquisition involves the transfer of ownership of only the shares in the target company, which, as a matter of Malaysian law, is a relatively straightforward process. It also provides continuity of the business for the buyer and a clean break for the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asset sale involves identifying and transferring title(s) to specific assets or categories of asset and, as such, it is generally more complicated. The target's assets will commonly include land and premises, inventory and work in progress, book debts, intellectual property rights, goodwill, insurance, leasing, hire purchase and other contracts, and plant and machinery. It is therefore often necessary to transfer each asset or category of asset from the target to the buyer by way of different conveyances, assignments and transfers that, in some instances, will also require consents from third parties not directly involved in the transaction. New permits or authorizations may also be required to carry on the business as most regulatory permits or authorizations in Malaysia are non‑transferable and must be applied for by the transferee entity. The transfer of assets also raises additional concerns in relation to the employees of the business.</w:t>
                  </w:r>
                </w:p>
                <w:p>
                  <w:pPr>
                    <w:pStyle w:val="BodyText"/>
                  </w:pPr>
                  <w:r>
                    <w:t xml:space="preserve">One of the main advantages of asset acquisition is that the buyer may choose specific assets or liabilities to be purchased or assumed, leaving behind those assets and liabilities that it does not require. The asset buyer will not generally inherit the target company's liabilities unless those liabilities are specifically acquired.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uncommon for parties to enter into a term sheet or a letter of intent to set out the commercial terms of the transaction. Such terms are not typically binding, but parties will often provide for certain binding terms, e.g., confidentiality and exclusivity.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Exclusivity provisions are commonly included in term sheets/letters of intent.</w:t>
                  </w:r>
                </w:p>
                <w:p>
                  <w:pPr>
                    <w:pStyle w:val="BodyText"/>
                  </w:pPr>
                  <w:pPr>
                    <w:pStyle w:val="ListParagraph"/>
                    <w:numPr>
                      <w:ilvl w:val="0"/>
                      <w:numId w:val="10"/>
                    </w:numPr>
                  </w:pPr>
                  <w:r>
                    <w:rPr>
                      <w:b/>
                    </w:rPr>
                    <w:t xml:space="preserve">Break fee</w:t>
                  </w:r>
                  <w:r>
                    <w:t xml:space="preserve">: Break fees are not common provisions in term sheets/letters of intent. In Malaysia, deposits are more commonly requested by local sellers (either at the time of execution of the term sheets/letters of intent or the share purchase agreement). It is rare for the seller to ask for the payment of a break fee.</w:t>
                  </w:r>
                </w:p>
                <w:p>
                  <w:pPr>
                    <w:pStyle w:val="BodyText"/>
                  </w:pPr>
                  <w:pPr>
                    <w:pStyle w:val="ListParagraph"/>
                    <w:numPr>
                      <w:ilvl w:val="0"/>
                      <w:numId w:val="10"/>
                    </w:numPr>
                  </w:pPr>
                  <w:r>
                    <w:rPr>
                      <w:b/>
                    </w:rPr>
                    <w:t xml:space="preserve">Confidentiality</w:t>
                  </w:r>
                  <w:r>
                    <w:t xml:space="preserve">: Confidentiality provisions are commonly included in term sheets/letters of intent.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Once the term sheet has been signed and the parties progress to a definitive agreement, the agreement will typically contain a confidentiality clause. An exclusivity clause is not usually included in the definitive agreement. The definitive agreement will not usually have an exclusivity clause because it is not necessary, as the agreement itself constitutes a binding legal commitment to proceed with the transaction based on the terms of the agreement. Break fee clauses are not common in Malaysia.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general duty or obligation to negotiate in good faith unless expressly provided for in the term sheet or letter of intent.</w:t>
                  </w:r>
                </w:p>
                <w:p>
                  <w:pPr>
                    <w:pStyle w:val="BodyText"/>
                  </w:pPr>
                  <w:r>
                    <w:t xml:space="preserve">Similarly, it is uncommon for parties to agree, in a term sheet or letter of intent, on "break fees" payable in the event that the sale and purchase agreement is not entered into.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For bilateral and purchaser-driven transactions, cash-free/debt-free and working capital adjustments are common. Net asset value (NAV) based adjustments are fairly common in asset‑heavy sectors where valuation is closely linked to the target’s balance‑sheet position.</w:t>
                  </w:r>
                </w:p>
                <w:p>
                  <w:pPr>
                    <w:pStyle w:val="BodyText"/>
                  </w:pPr>
                  <w:r>
                    <w:t xml:space="preserve">The type of adjustment (whether based on earnings before interest, tax, depreciation and amortization (EBITDA), EV, NAV, etc.) will typically depend on the industry, type of business and stage of the target's business life cycle.</w:t>
                  </w:r>
                </w:p>
                <w:p>
                  <w:pPr>
                    <w:pStyle w:val="BodyText"/>
                  </w:pPr>
                  <w:r>
                    <w:t xml:space="preserve">The locked‑box mechanism has increasingly been adopted in competitive auction bids or seller‑driven transactions, particularly by private equity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Collars are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target company usually prepares this (but the buyer may be involved in the process of preparing the accounts).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commonly requested but sellers will typically push back. Earn-outs are commonly capped.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commonly requested by local sellers but foreign buyers will typically push back.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have an escrow arrangement where a deposit is payable. It is less common to have a deposit used as a break fee.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but it is seen occasionally.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becoming increasingly common, though it is typically used in the context of targets exposed to significant risks or where parties expect it will take a long time for the conditions precedent to be fulfilled.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and it is increasingly more specific.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it is common to have quantitative criteria.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more common for sales of businesses. There may be enforceability issues if used in share sales, as it may be a restraint of trade.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it is common to use a blue pencil method as long as the parties include an express provision to such effect. If the parties do not include such a provision, then a court may still interpret the terms of the agreement based on the intention of both parties and taking the facts and circumstances of the transaction into account.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for parties to agree on certain pre-completion covenants.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Access is typically restricted to limited types of information (such as management accounts).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rare to allow updates to the warranty disclosure post-signing. Notification of a possible breach is common. Where there is a material breach of warranties, there is typically a right for the purchaser to rescind or terminate.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Materiality qualifiers are common. However, these qualifiers are generally not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increasingly common. They are often limited to the actual knowledge and due inquiry of a specified list of senior management personnel.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Sellers are increasingly resisting information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becoming increasingly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Repetition at completion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rare to repeat warranties at all times between signing and completion (unless the buyer is in a very strong bargaining position relative to the seller). Well-advised sellers will always try to resist repeating the warranties at all times between signing and 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Bring-down certificates are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there will often be carve-outs for fundamental representations that must be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Title and capacity warranties are usually uncapped or capped at 100%. Tax warranties are often capped at 100%. Business and operational warranties are often in the range of 20% to 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Warranties only. Sellers with a strong bargaining position (typically in auction processes) ask for the cap to apply to the whole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Key warranties are often excepted or capped at 100% of the purchase price (e.g., title, capitalization and authority). Tax and other specific areas of concern may also be excepted or specific higher caps may be applied. Separate caps can be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determined on a case-by-case basis, and it depends on the industry and target in question.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of 18-24 months is common, tied to one to two audit cycles for breaches of business warranties or other term of the SPA. Tax commonly has a five to seven-year survival period which aligns with the maximum tax audit statutory limitation period. Fundamental warranties commonly have a six-year survival period, which aligns with the contractual statutory limitation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fraud.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W&amp;I insurance is becoming increasingly common in Malaysia, particularly in larger, private equity–backed or cross‑border transactions where parties seek a cleaner allocation of risk or faster exit mechanics.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not commonly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for proceeds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for proceeds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not usually express, but it is required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that buyers will limit knowledge to matters referred to in the agreed bundle of due diligence documents, the purchase agreement and the disclosure letter and that, otherwise, the buyer's knowledge does not affect the ability to make warranty or indemnity claims.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Malaysian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On balance, arbitration is more common. Foreign parties prefer arbitration outside Malaysia, usually Singapore, Hong Kong or London.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buyer, by law, pays the stamp duty and it is unusual to agree otherwise. The rate is 0.3% of the purchase price or market value of the transacted shares.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have tax indemnities, usually included in the share purchase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fe39bd897f824bf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