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Sao Paulo–B3 (formerly BM&amp;FBovespa)</w:t>
      </w:r>
      <w:r w:rsidR="00480329"/>
    </w:p>
    <w:p w:rsidRPr="00BC7873" w:rsidR="00BC7873" w:rsidP="00D354EF" w:rsidRDefault="00051AB4" w14:paraId="2476CC56" w14:textId="2FB25FA9">
      <w:pPr>
        <w:pStyle w:val="Title"/>
      </w:pPr>
      <w:r w:rsidRPr="00BC7873">
        <w:t>Fees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Initial and ongoing fees must be paid to both B3 and CVM.</w:t>
              </w:r>
            </w:p>
            <w:p>
              <w:pPr>
                <w:pStyle w:val="BodyText"/>
              </w:pPr>
              <w:r>
                <w:rPr>
                  <w:i/>
                </w:rPr>
                <w:t xml:space="preserve">Initial admission</w:t>
              </w:r>
            </w:p>
            <w:p>
              <w:pPr>
                <w:pStyle w:val="BodyText"/>
              </w:pPr>
              <w:r>
                <w:t xml:space="preserve">The following listing fees must be paid to B3 for a primary listing:</w:t>
              </w:r>
            </w:p>
            <w:p>
              <w:pPr>
                <w:pStyle w:val="BodyText"/>
              </w:pPr>
              <w:pPr>
                <w:pStyle w:val="ListParagraph"/>
                <w:numPr>
                  <w:ilvl w:val="0"/>
                  <w:numId w:val="9"/>
                </w:numPr>
              </w:pPr>
              <w:r>
                <w:t xml:space="preserve">BRL 84,413 (approximately US$17,389) must be paid for a publicly-held company seeking admission to the B3 trading environment (for example, in the case of a Level II or III BDR program or domestic companies).</w:t>
              </w:r>
            </w:p>
            <w:p>
              <w:pPr>
                <w:pStyle w:val="BodyText"/>
              </w:pPr>
              <w:pPr>
                <w:pStyle w:val="ListParagraph"/>
                <w:numPr>
                  <w:ilvl w:val="0"/>
                  <w:numId w:val="9"/>
                </w:numPr>
              </w:pPr>
              <w:r>
                <w:t xml:space="preserve">BRL 3,975 (approximately US$818) for the registration of a non-sponsored Level I BDR program.</w:t>
              </w:r>
            </w:p>
            <w:p>
              <w:pPr>
                <w:pStyle w:val="BodyText"/>
              </w:pPr>
              <w:pPr>
                <w:pStyle w:val="ListParagraph"/>
                <w:numPr>
                  <w:ilvl w:val="0"/>
                  <w:numId w:val="9"/>
                </w:numPr>
              </w:pPr>
              <w:r>
                <w:t xml:space="preserve">BRL 9,931 (approximately US$2,045) for the registration of a sponsored Level I BDR program.</w:t>
              </w:r>
            </w:p>
            <w:p>
              <w:pPr>
                <w:pStyle w:val="BodyText"/>
              </w:pPr>
              <w:r>
                <w:t xml:space="preserve">Secondary listings are exempted from this fee requirement.</w:t>
              </w:r>
            </w:p>
            <w:p>
              <w:pPr>
                <w:pStyle w:val="BodyText"/>
              </w:pPr>
              <w:r>
                <w:t xml:space="preserve">The listing fees to be paid to the CVM correspond to 0.03% of the value of the offering.</w:t>
              </w:r>
            </w:p>
            <w:p>
              <w:pPr>
                <w:pStyle w:val="BodyText"/>
              </w:pPr>
              <w:r>
                <w:rPr>
                  <w:i/>
                </w:rPr>
                <w:t xml:space="preserve">Ongoing fees</w:t>
              </w:r>
            </w:p>
            <w:p>
              <w:pPr>
                <w:pStyle w:val="BodyText"/>
              </w:pPr>
              <w:r>
                <w:t xml:space="preserve">The annual fees to be paid to B3 are either:</w:t>
              </w:r>
            </w:p>
            <w:p>
              <w:pPr>
                <w:pStyle w:val="BodyText"/>
              </w:pPr>
              <w:pPr>
                <w:pStyle w:val="ListParagraph"/>
                <w:numPr>
                  <w:ilvl w:val="0"/>
                  <w:numId w:val="10"/>
                </w:numPr>
              </w:pPr>
              <w:r>
                <w:t xml:space="preserve">For a publicly-held company (including domestic companies), the fee will be comprised of a fixed portion of BRL 54,674 (approximately US$11,263), </w:t>
              </w:r>
              <w:r>
                <w:rPr>
                  <w:i/>
                </w:rPr>
                <w:t xml:space="preserve">plus</w:t>
              </w:r>
              <w:r>
                <w:t xml:space="preserve"> a variable portion calculated by multiplying (a) 0.00515% by (b) the corporate capital of the previous corporate year.</w:t>
              </w:r>
            </w:p>
            <w:p>
              <w:pPr>
                <w:pStyle w:val="BodyText"/>
              </w:pPr>
              <w:pPr>
                <w:pStyle w:val="ListParagraph"/>
                <w:numPr>
                  <w:ilvl w:val="0"/>
                  <w:numId w:val="10"/>
                </w:numPr>
              </w:pPr>
              <w:r>
                <w:t xml:space="preserve">For Level II and III BDR programs, the annual fee to be paid to B3 is BRL 54,674 (approximately US$11,263).</w:t>
              </w:r>
            </w:p>
            <w:p>
              <w:pPr>
                <w:pStyle w:val="BodyText"/>
              </w:pPr>
              <w:pPr>
                <w:pStyle w:val="ListParagraph"/>
                <w:numPr>
                  <w:ilvl w:val="0"/>
                  <w:numId w:val="10"/>
                </w:numPr>
              </w:pPr>
              <w:r>
                <w:t xml:space="preserve">For a non-sponsored and sponsored Level I BDR program, the annual fee to be paid to B3 is BRL 10,206 (approximately US$2,102).</w:t>
              </w:r>
            </w:p>
            <w:p>
              <w:pPr>
                <w:pStyle w:val="BodyText"/>
              </w:pPr>
              <w:r>
                <w:t xml:space="preserve">The fees to be paid to the CVM are calculated and paid on an annual basis, based on the net equity of the publicly-held company (applicable both to domestic or foreign companies), as follows:</w:t>
              </w:r>
            </w:p>
            <w:p>
              <w:pPr>
                <w:pStyle w:val="BodyText"/>
              </w:pPr>
              <w:hyperlink w:history="true" r:id="R7896cef8c48c42a8">
                <w:r>
                  <w:rPr>
                    <w:rStyle w:val="Hyperlink"/>
                  </w:rPr>
                  <w:t xml:space="preserve">Link to Table</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sao-paulo-b3---long-form---fees.pdf?sc_lang=en" TargetMode="External" Id="R7896cef8c48c42a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