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Singapore</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Monetary Authority of Singapore (</w:t>
              </w:r>
              <w:r>
                <w:rPr>
                  <w:b/>
                </w:rPr>
                <w:t xml:space="preserve">MAS</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Bancassurance partnerships are generally divided into the following arrangements: </w:t>
              </w:r>
            </w:p>
            <w:p>
              <w:pPr>
                <w:pStyle w:val="BodyText"/>
              </w:pPr>
              <w:pPr>
                <w:pStyle w:val="ListParagraph"/>
                <w:numPr>
                  <w:ilvl w:val="0"/>
                  <w:numId w:val="11"/>
                </w:numPr>
              </w:pPr>
              <w:r>
                <w:t xml:space="preserve">exclusive arrangements;</w:t>
              </w:r>
            </w:p>
            <w:p>
              <w:pPr>
                <w:pStyle w:val="BodyText"/>
              </w:pPr>
              <w:pPr>
                <w:pStyle w:val="ListParagraph"/>
                <w:numPr>
                  <w:ilvl w:val="0"/>
                  <w:numId w:val="11"/>
                </w:numPr>
              </w:pPr>
              <w:r>
                <w:t xml:space="preserve">preferred partner arrangements; and</w:t>
              </w:r>
            </w:p>
            <w:p>
              <w:pPr>
                <w:pStyle w:val="BodyText"/>
              </w:pPr>
              <w:pPr>
                <w:pStyle w:val="ListParagraph"/>
                <w:numPr>
                  <w:ilvl w:val="0"/>
                  <w:numId w:val="11"/>
                </w:numPr>
              </w:pPr>
              <w:r>
                <w:t xml:space="preserve">conventional/open architecture arrangements (i.e., bank will distribute the insurance products of insurer without preferential treatment).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are:</w:t>
              </w:r>
            </w:p>
            <w:p>
              <w:pPr>
                <w:pStyle w:val="BodyText"/>
              </w:pPr>
              <w:pPr>
                <w:pStyle w:val="ListParagraph"/>
                <w:numPr>
                  <w:ilvl w:val="0"/>
                  <w:numId w:val="10"/>
                </w:numPr>
              </w:pPr>
              <w:r>
                <w:t xml:space="preserve">type of bancassurance partnership;</w:t>
              </w:r>
            </w:p>
            <w:p>
              <w:pPr>
                <w:pStyle w:val="BodyText"/>
              </w:pPr>
              <w:pPr>
                <w:pStyle w:val="ListParagraph"/>
                <w:numPr>
                  <w:ilvl w:val="0"/>
                  <w:numId w:val="10"/>
                </w:numPr>
              </w:pPr>
              <w:r>
                <w:t xml:space="preserve">term and renewal;</w:t>
              </w:r>
            </w:p>
            <w:p>
              <w:pPr>
                <w:pStyle w:val="BodyText"/>
              </w:pPr>
              <w:pPr>
                <w:pStyle w:val="ListParagraph"/>
                <w:numPr>
                  <w:ilvl w:val="0"/>
                  <w:numId w:val="10"/>
                </w:numPr>
              </w:pPr>
              <w:r>
                <w:t xml:space="preserve">products and products development;</w:t>
              </w:r>
            </w:p>
            <w:p>
              <w:pPr>
                <w:pStyle w:val="BodyText"/>
              </w:pPr>
              <w:pPr>
                <w:pStyle w:val="ListParagraph"/>
                <w:numPr>
                  <w:ilvl w:val="0"/>
                  <w:numId w:val="10"/>
                </w:numPr>
              </w:pPr>
              <w:r>
                <w:t xml:space="preserve">commission, incentives and timing for such payment;</w:t>
              </w:r>
            </w:p>
            <w:p>
              <w:pPr>
                <w:pStyle w:val="BodyText"/>
              </w:pPr>
              <w:pPr>
                <w:pStyle w:val="ListParagraph"/>
                <w:numPr>
                  <w:ilvl w:val="0"/>
                  <w:numId w:val="10"/>
                </w:numPr>
              </w:pPr>
              <w:r>
                <w:t xml:space="preserve">distribution methodology and operating procedures; and</w:t>
              </w:r>
            </w:p>
            <w:p>
              <w:pPr>
                <w:pStyle w:val="BodyText"/>
              </w:pPr>
              <w:pPr>
                <w:pStyle w:val="ListParagraph"/>
                <w:numPr>
                  <w:ilvl w:val="0"/>
                  <w:numId w:val="10"/>
                </w:numPr>
              </w:pPr>
              <w:r>
                <w:t xml:space="preserve">the mining of the bank’s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insurance companies and the banks must be respectively licensed (or exempted from licensing) under the Insurance Act (Cap. 142 of the Republic of Singapore), the Banking Act (Cap. 19 of the Republic of Singapore) and the Financial Advisers Act (Cap. 110 of the Republic of Singapore) to carry on insurance business and the booking of general insurance policies, banking business or the marketing/arrangement of life policies (as the case may be) in Singapore.</w:t>
              </w:r>
              <w:r>
                <w:br/>
              </w:r>
              <w:r>
                <w:br/>
              </w:r>
              <w:r>
                <w:t xml:space="preserve">Representatives or personnel of the banks or insurance companies carrying out such activity must also be appropriately registered (see Question 22 below).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Exclusivity, and its term or duration, is a matter of negotiation between the parties. Parties must also be aware of competition law considerations.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preferential treatment, or preferred partner arrangement, is common in instances where a bank resists an exclusive arrangement. The form of the preferential treatment is a matter of negotiation.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regulatory approval is necessary but a bank which intends to arrange any contract of insurance in respect of life and non-life policies (other than a contract of reinsurance) in the course of its bancassurance activities is obliged to notify the MAS of the commencement of such business.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unless the MAS requests for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would be prudent to undertake a competition analysis given the broad application of, and significant penalties for breach under, the Competition Act (Cap. 50B of the Republic of Singapore).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 in particular. The concern is in determining whether the distribution agreement has any anti-competitive object or effect, and if any exclusions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customer information possessed by the bank is subject to banking secrecy provisions under the Banking Act, and such disclosure may only be made if one of the exemptions to banking secrecy applies or the information is processed such that it is not referable to a customer or group of customers.</w:t>
              </w:r>
              <w:r>
                <w:br/>
              </w:r>
              <w:r>
                <w:br/>
              </w:r>
              <w:r>
                <w:t xml:space="preserve">Further, the collection, use and disclosure of personal data will under the Personal Data Protection Act (No. 26 of 2012) (</w:t>
              </w:r>
              <w:r>
                <w:rPr>
                  <w:b/>
                </w:rPr>
                <w:t xml:space="preserve">PDPA</w:t>
              </w:r>
              <w:r>
                <w:t xml:space="preserve">) require the consent or deemed consent of the individual concerned, unless an exemption applies. Unless consent has been obtained or there is an applicable exemption, the insurance company will not be allowed to use customer information other than for the original purpose for which the insurance company received the information.</w:t>
              </w:r>
              <w:r>
                <w:br/>
              </w:r>
              <w:r>
                <w:br/>
              </w:r>
              <w:r>
                <w:t xml:space="preserve">The PDPA has also established a Do Not Call Registry, and introduced obligations and restrictions that apply in relation to persons sending specified messages (in the form of voice calls, text or fax messages) to Singapore telephone numbers.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PDPA prohibits the dissemination of customer information without the customers’ consent. Appropriate consent should be obtained from customers, and where relevant, notifications should be issued to customers. The banking secrecy provisions under the Banking Act also provide an exception to allow disclosure where the customer’s prior written consent is obtained.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Common-law duty of confidentiality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should consider the rules in place concerning commission payments for regular premium life policies paid by manufacturers to banks.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Currently not applicable, but under the draft Financial Advisers (Remuneration and Incentive) Regulations, a contravention of the proposed compensation limitations and product-related incentives will be regarded as an offense. However, the precise penalties for such contravention has not been prescribed or announced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our past experience, typically no. However, based on the new requirements proposed (as discussed in Questions 15 and 16 above) this may change.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depending on the class of product, there may be an obligation to hold a separate license or notify the MAS (see our response to Question 7 above). Different ongoing conduct of business requirements may also apply to different classes of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 but subject to compliance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New policies or policies with features that do not appear in the insurance company’s existing business portfolio need to be approved by the MAS. The approval request requires submission of the policy form, proposal form, product summary and benefit illustration (among others).</w:t>
              </w:r>
              <w:r>
                <w:br/>
              </w:r>
              <w:r>
                <w:br/>
              </w:r>
              <w:r>
                <w:t xml:space="preserve">Yes, insurance companies own the IP rights to such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specific regulatory prohibition or limitations on co-branding provided that the bank does not assume any risk or undertake any liability under the relevant policies and provided that it is not false, misleading or deceptive.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bank would generally exercise care regarding the level of access to its customer data to preserve confidentiality and banking secrecy.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There is no statutory requirement for training or oversight responsibility by the insurer. However, it is common for the insurer to provide training to the bank personnel.</w:t>
              </w:r>
            </w:p>
            <w:p>
              <w:pPr>
                <w:pStyle w:val="BodyText"/>
              </w:pPr>
              <w:pPr>
                <w:pStyle w:val="ListParagraph"/>
                <w:numPr>
                  <w:ilvl w:val="0"/>
                  <w:numId w:val="9"/>
                </w:numPr>
              </w:pPr>
              <w:r>
                <w:t xml:space="preserve">This is contractual. The bank would be compensated based on the consideration set out within the distribution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bank would generally exercise care regarding the level of access to its customer data to preserve confidentiality and banking secrecy.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may be subject to regulatory notifications or approvals, and subject thereto banks are allowed to lease space to insurance companies, provided there are adequate safeguards in segregating information and maintaining confidentiality and banking secrecy.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Draft amendments to legislation and the regulatory regime for financial advisory services (including the arranging of life insurance contracts) have been proposed pursuant to the Financial Advisers Industry Review. The key thrusts introduced by the Financial Advisers Industry Review were: (i) raising the quality of financial advisory firms; (ii) lowering distribution costs in respect of distributing life policies; and (iii) promoting a culture of fair dealing.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