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Hong Kong</w:t>
      </w:r>
      <w:r w:rsidR="00480329"/>
    </w:p>
    <w:p w:rsidRPr="00BC7873" w:rsidR="00BC7873" w:rsidP="00D354EF" w:rsidRDefault="00051AB4" w14:paraId="2476CC56" w14:textId="2FB25FA9">
      <w:pPr>
        <w:pStyle w:val="Title"/>
      </w:pPr>
      <w:r w:rsidRPr="00BC7873">
        <w:t>Incentives for Green Retrofit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government-funded or sponsored schemes for improving the energy efficiency of existing buildings and, broadly, how do they 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"Green Welfare NGOs" scheme</w:t>
              </w:r>
            </w:p>
            <w:p>
              <w:pPr>
                <w:pStyle w:val="BodyText"/>
              </w:pPr>
              <w:r>
                <w:t xml:space="preserve">In the 2021/22 budget, the government pledged to set aside HKD 150 million to conduct energy audits and install energy-saving appliances, free of charge, for NGOs financially supported by the Social Welfare Department. In collaboration with the Social Welfare Department, the Environment Bureau and the EMSD launched the "Green Welfare NGOs" scheme in November 2021, which will fully cover the energy-saving projects. The scheme will run five financial years from 2022/23 to 2026/27. As of March 2024, the latest round of applications closed on 31 March 2023, and application windows for further rounds are yet to be announced.</w:t>
              </w:r>
            </w:p>
            <w:p>
              <w:pPr>
                <w:pStyle w:val="BodyText"/>
              </w:pPr>
              <w:r>
                <w:rPr>
                  <w:b/>
                </w:rPr>
                <w:t xml:space="preserve">"Green Schools 2.0 – Energy Smart" scheme</w:t>
              </w:r>
            </w:p>
            <w:p>
              <w:pPr>
                <w:pStyle w:val="BodyText"/>
              </w:pPr>
              <w:r>
                <w:t xml:space="preserve">The government also introduced a HKD 600 million "Green Schools 2.0 – Energy Smart" scheme, to be run for five financial years from 2020/22 to 2024/25. Under the scheme, primary and secondary schools (except government and profit-making schools) are to replace existing air conditioners with variable-speed air conditioners, convert existing fluorescent lighting/incandescent floodlights into LED lighting/LED floodlights, and install real-time energy monitoring systems at their premises, with all expenses in relation to the energy-saving projects covered by the government. As of March 2024, the latest round of applications closed on 30 June 2022, and application windows for further rounds are yet to be announced.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