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Greece</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 omnibus – all personal data</w:t>
              </w:r>
            </w:p>
            <w:p>
              <w:pPr>
                <w:pStyle w:val="BodyText"/>
              </w:pPr>
              <w:r>
                <w:t xml:space="preserve">☒ sector-specific</w:t>
              </w:r>
            </w:p>
            <w:p>
              <w:pPr>
                <w:pStyle w:val="BodyText"/>
              </w:pPr>
              <w:r>
                <w:t xml:space="preserve">Law 3471/2006 governs the Electronic communications sector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ac7d231e31f1433b">
                <w:r>
                  <w:rPr>
                    <w:rStyle w:val="Hyperlink"/>
                    <w:i/>
                  </w:rPr>
                  <w:t xml:space="preserve">EU Chapter</w:t>
                </w:r>
              </w:hyperlink>
              <w:r>
                <w:rPr>
                  <w:i/>
                </w:rPr>
                <w:t xml:space="preserve"> for detailed information regarding EU-wide legislation.</w:t>
              </w:r>
            </w:p>
            <w:p>
              <w:pPr>
                <w:pStyle w:val="BodyText"/>
              </w:pPr>
              <w:pPr>
                <w:pStyle w:val="ListParagraph"/>
                <w:numPr>
                  <w:ilvl w:val="0"/>
                  <w:numId w:val="10"/>
                </w:numPr>
              </w:pPr>
              <w:hyperlink w:history="true" r:id="R07598267e26148c1">
                <w:r>
                  <w:rPr>
                    <w:rStyle w:val="Hyperlink"/>
                  </w:rPr>
                  <w:t xml:space="preserve">EU General Data Protection Regulation</w:t>
                </w:r>
              </w:hyperlink>
              <w:r>
                <w:t xml:space="preserve"> ("</w:t>
              </w:r>
              <w:r>
                <w:rPr>
                  <w:b/>
                </w:rPr>
                <w:t xml:space="preserve">GDPR</w:t>
              </w:r>
              <w:r>
                <w:t xml:space="preserve">")</w:t>
              </w:r>
            </w:p>
            <w:p>
              <w:pPr>
                <w:pStyle w:val="BodyText"/>
              </w:pPr>
              <w:pPr>
                <w:pStyle w:val="ListParagraph"/>
                <w:numPr>
                  <w:ilvl w:val="0"/>
                  <w:numId w:val="10"/>
                </w:numPr>
              </w:pPr>
              <w:r>
                <w:t xml:space="preserve">Law 4624/2019 on "Hellenic Data Protection Authority ("</w:t>
              </w:r>
              <w:r>
                <w:rPr>
                  <w:b/>
                </w:rPr>
                <w:t xml:space="preserve">HDPA</w:t>
              </w:r>
              <w:r>
                <w:t xml:space="preserve">"), measures for implementing GDPR and transposition of Directive (EU) 2016/680 and other provisions"</w:t>
              </w:r>
            </w:p>
            <w:p>
              <w:pPr>
                <w:pStyle w:val="BodyText"/>
              </w:pPr>
              <w:pPr>
                <w:pStyle w:val="ListParagraph"/>
                <w:numPr>
                  <w:ilvl w:val="0"/>
                  <w:numId w:val="10"/>
                </w:numPr>
              </w:pPr>
              <w:r>
                <w:t xml:space="preserve">Law 3471/2006 on "protection of personal data and privacy in the electronic communications sector" [incorporation of Directive (EU) 2002/58]</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i/>
                </w:rPr>
                <w:t xml:space="preserve">Please refer to the </w:t>
              </w:r>
              <w:hyperlink w:history="true" r:id="Rc79c16d00d19412c">
                <w:r>
                  <w:rPr>
                    <w:rStyle w:val="Hyperlink"/>
                    <w:i/>
                  </w:rPr>
                  <w:t xml:space="preserve">EU Chapter</w:t>
                </w:r>
              </w:hyperlink>
              <w:r>
                <w:rPr>
                  <w:i/>
                </w:rPr>
                <w:t xml:space="preserve"> for detailed information regarding EU-wide legislation.</w:t>
              </w:r>
            </w:p>
            <w:p>
              <w:pPr>
                <w:pStyle w:val="BodyText"/>
              </w:pPr>
              <w:pPr>
                <w:pStyle w:val="ListParagraph"/>
                <w:numPr>
                  <w:ilvl w:val="0"/>
                  <w:numId w:val="9"/>
                </w:numPr>
              </w:pPr>
              <w:r>
                <w:rPr>
                  <w:b/>
                </w:rPr>
                <w:t xml:space="preserve">Law 5160/2024</w:t>
              </w:r>
              <w:r>
                <w:t xml:space="preserve"> incorporating into Greek legislation Directive (EU) 2022/2555 (“</w:t>
              </w:r>
              <w:r>
                <w:rPr>
                  <w:b/>
                </w:rPr>
                <w:t xml:space="preserve">NIS2</w:t>
              </w:r>
              <w:r>
                <w:t xml:space="preserve">”) of the European Parliament and of the Council of 14 December 2022 concerning measures to achieve a high common level of cybersecurity across the Union, amending Regulation (EU) 910/2014 and Directive (EU) 2018/1972 and repealing Directive (EU) 2016/1148 (“</w:t>
              </w:r>
              <w:r>
                <w:rPr>
                  <w:b/>
                </w:rPr>
                <w:t xml:space="preserve">NIS</w:t>
              </w:r>
              <w:r>
                <w:t xml:space="preserve">”); </w:t>
              </w:r>
            </w:p>
            <w:p>
              <w:pPr>
                <w:pStyle w:val="BodyText"/>
              </w:pPr>
              <w:pPr>
                <w:pStyle w:val="ListParagraph"/>
                <w:numPr>
                  <w:ilvl w:val="0"/>
                  <w:numId w:val="9"/>
                </w:numPr>
              </w:pPr>
              <w:r>
                <w:rPr>
                  <w:b/>
                </w:rPr>
                <w:t xml:space="preserve">Law 5099/2024 </w:t>
              </w:r>
              <w:r>
                <w:t xml:space="preserve">on adoption of measures for the implementation of Regulation (EU) 2022/2065 of the European Parliament and of the Council of 19 October 2022 on the single market for digital services (“</w:t>
              </w:r>
              <w:r>
                <w:rPr>
                  <w:b/>
                </w:rPr>
                <w:t xml:space="preserve">Digital Services Act</w:t>
              </w:r>
              <w:r>
                <w:t xml:space="preserve">” or “</w:t>
              </w:r>
              <w:r>
                <w:rPr>
                  <w:b/>
                </w:rPr>
                <w:t xml:space="preserve">DSA</w:t>
              </w:r>
              <w:r>
                <w:t xml:space="preserve">”); The National Telecommunications and Post Commission (EETT) is the National Digital Services Coordinator and is responsible for supervising and checking compliance with the rules of the DSA in Greece and the Hellenic Data Protection Authority (HDPA) has been designated as competent authority for the supervision of intermediary service providers and the enforcement of point d of paragraph 1 &amp; paragraph 3 of article 26 of the DSA (on advertising on online platforms) and Article 28 of the DSA (on online protection of minors).</w:t>
              </w:r>
            </w:p>
            <w:p>
              <w:pPr>
                <w:pStyle w:val="BodyText"/>
              </w:pPr>
              <w:pPr>
                <w:pStyle w:val="ListParagraph"/>
                <w:numPr>
                  <w:ilvl w:val="0"/>
                  <w:numId w:val="9"/>
                </w:numPr>
              </w:pPr>
              <w:r>
                <w:rPr>
                  <w:b/>
                </w:rPr>
                <w:t xml:space="preserve">Law 5086/2024</w:t>
              </w:r>
              <w:r>
                <w:t xml:space="preserve"> on the establishment of National Cybersecurity Authority.</w:t>
              </w:r>
            </w:p>
            <w:p>
              <w:pPr>
                <w:pStyle w:val="BodyText"/>
              </w:pPr>
              <w:pPr>
                <w:pStyle w:val="ListParagraph"/>
                <w:numPr>
                  <w:ilvl w:val="0"/>
                  <w:numId w:val="9"/>
                </w:numPr>
              </w:pPr>
              <w:r>
                <w:t xml:space="preserve">Law 5002/2022 on "communications de-privacy process, cyber security and protection of citizens’ personal data", whereby provisions of Law 4624/2019 and Law 4577/2018 are amended;</w:t>
              </w:r>
            </w:p>
            <w:p>
              <w:pPr>
                <w:pStyle w:val="BodyText"/>
              </w:pPr>
              <w:pPr>
                <w:pStyle w:val="ListParagraph"/>
                <w:numPr>
                  <w:ilvl w:val="0"/>
                  <w:numId w:val="9"/>
                </w:numPr>
              </w:pPr>
              <w:r>
                <w:t xml:space="preserve">Law 4961/2022 on “emerging information &amp; communication technologies, reinforcement of digital governance and other provisions”.</w:t>
              </w:r>
            </w:p>
            <w:p>
              <w:pPr>
                <w:pStyle w:val="BodyText"/>
              </w:pPr>
              <w:pPr>
                <w:pStyle w:val="ListParagraph"/>
                <w:numPr>
                  <w:ilvl w:val="0"/>
                  <w:numId w:val="9"/>
                </w:numPr>
              </w:pPr>
              <w:r>
                <w:rPr>
                  <w:b/>
                </w:rPr>
                <w:t xml:space="preserve">Law 4537/2018 </w:t>
              </w:r>
              <w:r>
                <w:t xml:space="preserve">incorporating into Greek legislation Directive (EU) 2015/2366 on payment services in the internal market (“</w:t>
              </w:r>
              <w:r>
                <w:rPr>
                  <w:b/>
                </w:rPr>
                <w:t xml:space="preserve">PSD2 Directive</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t xml:space="preserve">Law 4727/2020</w:t>
              </w:r>
              <w:r>
                <w:t xml:space="preserve"> on Digital Governance incorporating into Greek legislation Directive (EU) 2016/2102 and Directive (EU) 2019/1024– Electronic Communications incorporating into Greek legislation Directive (EU) 2018/1972.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19 December 2024</w:t>
              </w:r>
            </w:p>
            <w:p>
              <w:pPr>
                <w:pStyle w:val="BodyText"/>
              </w:pPr>
              <w:r>
                <w:rPr>
                  <w:b/>
                </w:rPr>
                <w:t xml:space="preserve">National (Greece) anticipated developments.</w:t>
              </w:r>
            </w:p>
            <w:p>
              <w:pPr>
                <w:pStyle w:val="BodyText"/>
              </w:pPr>
              <w:r>
                <w:t xml:space="preserve">Nothing has been announced in this respect.</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global-data-and-cyber-handbook/emea/eu" TargetMode="External" Id="Rc79c16d00d19412c" /><Relationship Type="http://schemas.openxmlformats.org/officeDocument/2006/relationships/hyperlink" Target="https://resourcehub.bakermckenzie.com/en/en/resources/global-data-and-cyber-handbook/emea/eu" TargetMode="External" Id="Rac7d231e31f1433b" /><Relationship Type="http://schemas.openxmlformats.org/officeDocument/2006/relationships/hyperlink" Target="https://eur-lex.europa.eu/legal-content/EN/TXT/?uri=CELEX:32016R0679" TargetMode="External" Id="R07598267e26148c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