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Singapore</w:t>
      </w:r>
      <w:r w:rsidR="00480329"/>
    </w:p>
    <w:p w:rsidRPr="00BC7873" w:rsidR="00BC7873" w:rsidP="00D354EF" w:rsidRDefault="00051AB4" w14:paraId="2476CC56" w14:textId="2FB25FA9">
      <w:pPr>
        <w:pStyle w:val="Title"/>
      </w:pPr>
      <w:r w:rsidRPr="00BC7873">
        <w:t>Renewable Energy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regulations requiring a percentage of energy consumption to come from renewable sources?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Introduction</w:t>
              </w:r>
            </w:p>
            <w:p>
              <w:pPr>
                <w:pStyle w:val="BodyText"/>
              </w:pPr>
              <w:r>
                <w:t xml:space="preserve">While there are no regulations stipulating use of renewable energy as yet, Singapore is committed to achieving net-zero emissions by 2050.</w:t>
              </w:r>
              <w:r>
                <w:rPr>
                  <w:vertAlign w:val="superscript"/>
                </w:rPr>
                <w:t xml:space="preserve">1</w:t>
              </w:r>
              <w:r>
                <w:t xml:space="preserve"> Despite being an alternative energy disadvantaged island city-state, Singapore is adopting</w:t>
              </w:r>
              <w:r>
                <w:rPr>
                  <w:vertAlign w:val="superscript"/>
                </w:rPr>
                <w:t xml:space="preserve">2</w:t>
              </w:r>
              <w:r>
                <w:t xml:space="preserve"> the following strategies to increase domestic supply of low-carbon energy:</w:t>
              </w:r>
            </w:p>
            <w:p>
              <w:pPr>
                <w:pStyle w:val="BodyText"/>
              </w:pPr>
              <w:pPr>
                <w:pStyle w:val="ListParagraph"/>
                <w:numPr>
                  <w:ilvl w:val="0"/>
                  <w:numId w:val="9"/>
                </w:numPr>
              </w:pPr>
              <w:r>
                <w:t xml:space="preserve">Maximizing solar deployment toward the target of at least two GWp of installed solar capacity by 2030</w:t>
              </w:r>
            </w:p>
            <w:p>
              <w:pPr>
                <w:pStyle w:val="BodyText"/>
              </w:pPr>
              <w:pPr>
                <w:pStyle w:val="ListParagraph"/>
                <w:numPr>
                  <w:ilvl w:val="0"/>
                  <w:numId w:val="9"/>
                </w:numPr>
              </w:pPr>
              <w:r>
                <w:t xml:space="preserve">Importing up to four gigawatts (GW) of low-carbon electricity by 2035, which is around 30% of Singapore's projected electricity demand (Presently, the Singapore government has awarded conditional approvals for up to three GW of low-carbon electricity to be imported from Cambodia and Indonesia.)</w:t>
              </w:r>
            </w:p>
            <w:p>
              <w:pPr>
                <w:pStyle w:val="BodyText"/>
              </w:pPr>
              <w:pPr>
                <w:pStyle w:val="ListParagraph"/>
                <w:numPr>
                  <w:ilvl w:val="0"/>
                  <w:numId w:val="9"/>
                </w:numPr>
              </w:pPr>
              <w:r>
                <w:t xml:space="preserve">Accelerating the exploration of low carbon alternatives:</w:t>
              </w:r>
            </w:p>
            <w:p>
              <w:pPr>
                <w:pStyle w:val="BodyText"/>
              </w:pPr>
              <w:pPr>
                <w:pStyle w:val="ListParagraph"/>
                <w:numPr>
                  <w:ilvl w:val="1"/>
                  <w:numId w:val="10"/>
                </w:numPr>
                <w:ind w:left="1560"/>
              </w:pPr>
              <w:r>
                <w:t xml:space="preserve">Plans under the </w:t>
              </w:r>
              <w:hyperlink w:history="true" r:id="Ra8ca3c3d037c4b1e">
                <w:r>
                  <w:rPr>
                    <w:rStyle w:val="Hyperlink"/>
                  </w:rPr>
                  <w:t xml:space="preserve">National Hydrogen Strategy 2022</w:t>
                </w:r>
              </w:hyperlink>
              <w:r>
                <w:t xml:space="preserve"> for hydrogen to complement and diversify Singapore's power mix alongside solar, imported electricity and other potential low-carbon energy sources (Depending on technological developments and the development of other energy sources, hydrogen could supply up to half of Singapore's power needs by 2050.)</w:t>
              </w:r>
            </w:p>
            <w:p>
              <w:pPr>
                <w:pStyle w:val="BodyText"/>
              </w:pPr>
              <w:pPr>
                <w:pStyle w:val="ListParagraph"/>
                <w:numPr>
                  <w:ilvl w:val="1"/>
                  <w:numId w:val="10"/>
                </w:numPr>
                <w:ind w:left="1560"/>
              </w:pPr>
              <w:r>
                <w:t xml:space="preserve">Assessing the submissions from our expression of interest for low-carbon ammonia power generation and bunkering</w:t>
              </w:r>
            </w:p>
            <w:p>
              <w:pPr>
                <w:pStyle w:val="BodyText"/>
              </w:pPr>
              <w:pPr>
                <w:pStyle w:val="ListParagraph"/>
                <w:numPr>
                  <w:ilvl w:val="1"/>
                  <w:numId w:val="10"/>
                </w:numPr>
                <w:ind w:left="1560"/>
              </w:pPr>
              <w:r>
                <w:t xml:space="preserve">Undertaking a nationwide study to assess Singapore's potential for deep geothermal and carbon sequestration</w:t>
              </w:r>
            </w:p>
            <w:p>
              <w:pPr>
                <w:pStyle w:val="BodyText"/>
              </w:pPr>
              <w:r>
                <w:t xml:space="preserve">The BCA has also conducted research on the target of greening 80% of the building stock by 2030. The </w:t>
              </w:r>
              <w:hyperlink w:history="true" r:id="R639be22abf254b60">
                <w:r>
                  <w:rPr>
                    <w:rStyle w:val="Hyperlink"/>
                  </w:rPr>
                  <w:t xml:space="preserve">Super Low Energy Building Technology Roadmap</w:t>
                </w:r>
              </w:hyperlink>
              <w:r>
                <w:t xml:space="preserve"> identified potential solutions from enhanced existing technologies and emerging research, development and demonstration (RD&amp;D) initiatives and concluded the following:</w:t>
              </w:r>
            </w:p>
            <w:p>
              <w:pPr>
                <w:pStyle w:val="BodyText"/>
              </w:pPr>
              <w:pPr>
                <w:pStyle w:val="ListParagraph"/>
                <w:numPr>
                  <w:ilvl w:val="0"/>
                  <w:numId w:val="11"/>
                </w:numPr>
              </w:pPr>
              <w:r>
                <w:t xml:space="preserve">Achieving SLE with 60% energy efficiency improvement (from 2005 levels) is technically feasible with best-in-class technologies today.</w:t>
              </w:r>
            </w:p>
            <w:p>
              <w:pPr>
                <w:pStyle w:val="BodyText"/>
              </w:pPr>
              <w:pPr>
                <w:pStyle w:val="ListParagraph"/>
                <w:numPr>
                  <w:ilvl w:val="0"/>
                  <w:numId w:val="11"/>
                </w:numPr>
              </w:pPr>
              <w:r>
                <w:t xml:space="preserve">Further technological advancements and RD&amp;D will be needed to reach 80% energy efficiency improvement, to make SLE both technically feasible and economically viable for mainstream adoption by 2030.</w:t>
              </w:r>
            </w:p>
            <w:p>
              <w:pPr>
                <w:pStyle w:val="BodyText"/>
              </w:pPr>
              <w:r>
                <w:t xml:space="preserve">For JTC estates, buildings and vacant land, solar deployment is mandatory for the following:</w:t>
              </w:r>
            </w:p>
            <w:p>
              <w:pPr>
                <w:pStyle w:val="BodyText"/>
              </w:pPr>
              <w:pPr>
                <w:pStyle w:val="ListParagraph"/>
                <w:numPr>
                  <w:ilvl w:val="0"/>
                  <w:numId w:val="12"/>
                </w:numPr>
              </w:pPr>
              <w:r>
                <w:t xml:space="preserve">New and renewed land/land-based facilities</w:t>
              </w:r>
            </w:p>
            <w:p>
              <w:pPr>
                <w:pStyle w:val="BodyText"/>
              </w:pPr>
              <w:pPr>
                <w:pStyle w:val="ListParagraph"/>
                <w:numPr>
                  <w:ilvl w:val="0"/>
                  <w:numId w:val="12"/>
                </w:numPr>
              </w:pPr>
              <w:r>
                <w:t xml:space="preserve">Assignment/transfer or redevelopment of the land/land-based facilities</w:t>
              </w:r>
            </w:p>
            <w:p>
              <w:pPr>
                <w:pStyle w:val="BodyText"/>
              </w:pPr>
              <w:pPr>
                <w:pStyle w:val="ListParagraph"/>
                <w:numPr>
                  <w:ilvl w:val="0"/>
                  <w:numId w:val="12"/>
                </w:numPr>
              </w:pPr>
              <w:r>
                <w:t xml:space="preserve">Sites with at least 800 m2 of available contiguous rooftop area and 15 years of remaining lease term or more</w:t>
              </w:r>
            </w:p>
            <w:p>
              <w:pPr>
                <w:pStyle w:val="BodyText"/>
              </w:pPr>
              <w:r>
                <w:t xml:space="preserve">Where the above conditions are not met, the JTC lessee can adopt solar deployment voluntarily. JTC's consent is required for any addition and alteration works to the land/land-based facilities.</w:t>
              </w:r>
              <w:r>
                <w:rPr>
                  <w:vertAlign w:val="superscript"/>
                </w:rPr>
                <w:t xml:space="preserve">3</w:t>
              </w:r>
            </w:p>
            <w:p>
              <w:pPr>
                <w:pStyle w:val="BodyText"/>
              </w:pPr>
              <w:r>
                <w:t xml:space="preserve"> </w:t>
              </w:r>
            </w:p>
            <w:p>
              <w:pPr>
                <w:pStyle w:val="BodyText"/>
              </w:pPr>
              <w:pPr>
                <w:pBdr>
                  <w:top w:val="single" w:sz="4"/>
                </w:pBdr>
              </w:pPr>
              <w:r/>
            </w:p>
            <w:p>
              <w:pPr>
                <w:pStyle w:val="BodyText"/>
              </w:pPr>
              <w:r>
                <w:rPr>
                  <w:sz w:val="18"/>
                </w:rPr>
                <w:t xml:space="preserve">[1] See Strategy Group, Prime Minister's Office: </w:t>
              </w:r>
              <w:hyperlink w:history="true" r:id="R85ff1fbaaf8d410f">
                <w:r>
                  <w:rPr>
                    <w:rStyle w:val="Hyperlink"/>
                    <w:sz w:val="18"/>
                  </w:rPr>
                  <w:t xml:space="preserve">Singapore Commits to Achieve Net Zero Emissions by 2050 and to a Revised 2030 Nationally Determined Contribution; Public Sector and Jurong Lake District to Lead The Way with Net Zero Targets</w:t>
                </w:r>
              </w:hyperlink>
              <w:r>
                <w:rPr>
                  <w:sz w:val="18"/>
                </w:rPr>
                <w:t xml:space="preserve">; 25 October 2022.</w:t>
              </w:r>
            </w:p>
            <w:p>
              <w:pPr>
                <w:pStyle w:val="BodyText"/>
              </w:pPr>
              <w:r>
                <w:rPr>
                  <w:sz w:val="18"/>
                </w:rPr>
                <w:t xml:space="preserve">[2] Written answers by the minister for trade and industry of Singapore to question: </w:t>
              </w:r>
              <w:hyperlink w:history="true" r:id="R0eb846f8086f49bf">
                <w:r>
                  <w:rPr>
                    <w:rStyle w:val="Hyperlink"/>
                    <w:sz w:val="18"/>
                  </w:rPr>
                  <w:t xml:space="preserve">Growing Renewable Energy Adoption To Meet Net-Zero Carbon Emissions Pledge</w:t>
                </w:r>
              </w:hyperlink>
              <w:r>
                <w:rPr>
                  <w:sz w:val="18"/>
                </w:rPr>
                <w:t xml:space="preserve">; 19 September 2023.</w:t>
              </w:r>
            </w:p>
            <w:p>
              <w:pPr>
                <w:pStyle w:val="BodyText"/>
              </w:pPr>
              <w:r>
                <w:rPr>
                  <w:sz w:val="18"/>
                </w:rPr>
                <w:t xml:space="preserve">[3] See JTC: </w:t>
              </w:r>
              <w:hyperlink w:history="true" r:id="Re33ce8771bc44a10">
                <w:r>
                  <w:rPr>
                    <w:rStyle w:val="Hyperlink"/>
                    <w:sz w:val="18"/>
                  </w:rPr>
                  <w:t xml:space="preserve">Managing tenancy or lease: Solar deployment</w:t>
                </w:r>
              </w:hyperlink>
              <w: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ti.gov.sg/-/media/MTI/HPO/Singapore-Hydrogen-Strategy/ebrochure_HPO_Oct_26.pdf" TargetMode="External" Id="Ra8ca3c3d037c4b1e" /><Relationship Type="http://schemas.openxmlformats.org/officeDocument/2006/relationships/hyperlink" Target="https://www1.bca.gov.sg/docs/default-source/docs-corp-buildsg/sustainability/sle-tech-roadmap-report--published-ver1-1.pdf?sfvrsn=f2df22ed_0" TargetMode="External" Id="R639be22abf254b60" /><Relationship Type="http://schemas.openxmlformats.org/officeDocument/2006/relationships/hyperlink" Target="https://www.nccs.gov.sg/media/press-releases/singapore-commits-to-achieve-net-zero/" TargetMode="External" Id="R85ff1fbaaf8d410f" /><Relationship Type="http://schemas.openxmlformats.org/officeDocument/2006/relationships/hyperlink" Target="https://sprs.parl.gov.sg/search/#/sprs3topic?reportid=written-answer-na-14567" TargetMode="External" Id="R0eb846f8086f49bf" /><Relationship Type="http://schemas.openxmlformats.org/officeDocument/2006/relationships/hyperlink" Target="https://www.jtc.gov.sg/get-help/managing-your-tenancy-or-lease/solar-deployment" TargetMode="External" Id="Re33ce8771bc44a1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