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Fees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Initial listing. The initial listing fee is determined by the following scale:</w:t>
              </w:r>
            </w:p>
            <w:p>
              <w:pPr>
                <w:pStyle w:val="BodyText"/>
              </w:pPr>
              <w:hyperlink w:history="true" r:id="R4c36d1f35d734065">
                <w:r>
                  <w:rPr>
                    <w:rStyle w:val="Hyperlink"/>
                  </w:rPr>
                  <w:t xml:space="preserve">Link to Table</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gem---long-form---fees.pdf?sc_lang=en" TargetMode="External" Id="R4c36d1f35d73406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