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of GEM Listing Rules to qualify for a listing on GEM. The HKSE may grant waivers from strict compliance with the requirements, and it assesses each waiver application on a case-by-case basis depending on the merits of each case. The HKSE has additional listing and disclosure requirements for infrastructure companies, mineral companies, overseas companies and companies incorporated in Mainland China (PRC).</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securities house.</w:t>
              </w:r>
            </w:p>
            <w:p>
              <w:pPr>
                <w:pStyle w:val="BodyText"/>
              </w:pPr>
              <w:pPr>
                <w:spacing w:after="220"/>
              </w:pPr>
              <w:r>
                <w:rPr>
                  <w:i/>
                </w:rPr>
                <w:t xml:space="preserve">Financial criteria. </w:t>
              </w:r>
              <w:r>
                <w:t xml:space="preserve">A GEM applicant must fulfill the following financial criteria:</w:t>
              </w:r>
            </w:p>
            <w:p>
              <w:pPr>
                <w:pStyle w:val="BodyText"/>
              </w:pPr>
              <w:hyperlink w:history="true" r:id="R268c74ce2fa34a06">
                <w:r>
                  <w:rPr>
                    <w:rStyle w:val="Hyperlink"/>
                  </w:rPr>
                  <w:t xml:space="preserve">Link to Table</w:t>
                </w:r>
              </w:hyperlink>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the listing applicant must have available sufficient working capital for 125% of the group's present requirements for at least 12 months from the date of the prospectus.</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GEM new applicant must have a trading record of at least two full financial years, with:</w:t>
              </w:r>
            </w:p>
            <w:p>
              <w:pPr>
                <w:pStyle w:val="BodyText"/>
              </w:pPr>
              <w:pPr>
                <w:pStyle w:val="ListParagraph"/>
                <w:numPr>
                  <w:ilvl w:val="0"/>
                  <w:numId w:val="9"/>
                </w:numPr>
              </w:pPr>
              <w:r>
                <w:t xml:space="preserve">Substanti</w:t>
              </w:r>
              <w:r>
                <w:t xml:space="preserve">ally the same management throughout the two full financial years.</w:t>
              </w:r>
            </w:p>
            <w:p>
              <w:pPr>
                <w:pStyle w:val="BodyText"/>
              </w:pPr>
              <w:pPr>
                <w:pStyle w:val="ListParagraph"/>
                <w:numPr>
                  <w:ilvl w:val="0"/>
                  <w:numId w:val="9"/>
                </w:numPr>
              </w:pPr>
              <w:r>
                <w:t xml:space="preserve">A continui</w:t>
              </w:r>
              <w:r>
                <w:t xml:space="preserve">ty of ownership and control throughout the full financial year immediately preceding the issue of the listing document.</w:t>
              </w:r>
            </w:p>
            <w:p>
              <w:pPr>
                <w:pStyle w:val="BodyText"/>
              </w:pPr>
              <w:r>
                <w:t xml:space="preserve">At the time of listing, there must be a minimum of 100 shareholders. In addition, not more than 50% of the shares in public hands at the time of listing can be beneficially owned by the three largest public shareholders.</w:t>
              </w:r>
            </w:p>
            <w:p>
              <w:pPr>
                <w:pStyle w:val="BodyText"/>
              </w:pPr>
              <w:r>
                <w:rPr>
                  <w:i/>
                </w:rPr>
                <w:t xml:space="preserve">Minimum public float</w:t>
              </w:r>
              <w:r>
                <w:t xml:space="preserve">. At least 25% of the listing applicant's total issued share capital must at all times be held by the public, subject to a minimum public market capitalization of HK$</w:t>
              </w:r>
              <w:r>
                <w:t xml:space="preserve">45</w:t>
              </w:r>
              <w:r>
                <w:t xml:space="preserve"> million (approximately US$</w:t>
              </w:r>
              <w:r>
                <w:t xml:space="preserve">5.76</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w:t>
              </w:r>
            </w:p>
            <w:p>
              <w:pPr>
                <w:pStyle w:val="BodyText"/>
              </w:pPr>
              <w:r>
                <w:rPr>
                  <w:i/>
                </w:rPr>
                <w:t xml:space="preserve">Lock-up requirements</w:t>
              </w:r>
              <w:r>
                <w:t xml:space="preserve">. The GEM Listing Rules provide that any controlling shareholder(s) (holding 30% or more of the issued share capital of an issuer) must not, from the prospectus date until </w:t>
              </w:r>
              <w:r>
                <w:t xml:space="preserve">six </w:t>
              </w:r>
              <w:r>
                <w:t xml:space="preserve">months after dealings commence on HKSE, in any way dispose of any of its interest in the issuer. In addition, for a further </w:t>
              </w:r>
              <w:r>
                <w:t xml:space="preserve">six</w:t>
              </w:r>
              <w:r>
                <w:t xml:space="preserve"> months, the controlling shareholder(s) cannot dispose of any of its interest in the issuer so that it will cease to be controlling shareholder(s).</w:t>
              </w:r>
            </w:p>
            <w:p>
              <w:pPr>
                <w:pStyle w:val="BodyText"/>
              </w:pPr>
              <w:r>
                <w:t xml:space="preserve">These restrictions do not apply to:</w:t>
              </w:r>
            </w:p>
            <w:p>
              <w:pPr>
                <w:pStyle w:val="BodyText"/>
              </w:pPr>
              <w:pPr>
                <w:pStyle w:val="ListParagraph"/>
                <w:numPr>
                  <w:ilvl w:val="0"/>
                  <w:numId w:val="10"/>
                </w:numPr>
              </w:pPr>
              <w:r>
                <w:t xml:space="preserve">Any offer for sale contained in the prospectus.</w:t>
              </w:r>
            </w:p>
            <w:p>
              <w:pPr>
                <w:pStyle w:val="BodyText"/>
              </w:pPr>
              <w:pPr>
                <w:pStyle w:val="ListParagraph"/>
                <w:numPr>
                  <w:ilvl w:val="0"/>
                  <w:numId w:val="10"/>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0"/>
                </w:numPr>
              </w:pPr>
              <w:r>
                <w:t xml:space="preserve">Any stock lending arrangement to facilitate settlement of over-allocations.</w:t>
              </w:r>
            </w:p>
            <w:p>
              <w:pPr>
                <w:pStyle w:val="BodyText"/>
              </w:pPr>
              <w:pPr>
                <w:pStyle w:val="ListParagraph"/>
                <w:numPr>
                  <w:ilvl w:val="0"/>
                  <w:numId w:val="10"/>
                </w:numPr>
              </w:pPr>
              <w:r>
                <w:t xml:space="preserve">Using the securities as security in favor of an authorized institution for a </w:t>
              </w:r>
              <w:r>
                <w:rPr>
                  <w:i/>
                </w:rPr>
                <w:t xml:space="preserve">bona fide </w:t>
              </w:r>
              <w:r>
                <w:t xml:space="preserve">commercial loan.</w:t>
              </w:r>
            </w:p>
            <w:p>
              <w:pPr>
                <w:pStyle w:val="BodyText"/>
              </w:pPr>
              <w:pPr>
                <w:spacing w:after="220"/>
              </w:pPr>
              <w:r>
                <w:rPr>
                  <w:i/>
                </w:rPr>
                <w:t xml:space="preserve">Corporate governance</w:t>
              </w:r>
              <w:r>
                <w:t xml:space="preserve">. The GEM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Sponsor and interviews</w:t>
              </w:r>
              <w:r>
                <w:t xml:space="preserve">. Each listing applicant must appoint at least one independent sponsor to assist with its listing application. A sponsor must be licensed or registered under applicable laws to advise on corporate finance matters. A sponsor is not independent if, </w:t>
              </w:r>
              <w:r>
                <w:rPr>
                  <w:i/>
                </w:rPr>
                <w:t xml:space="preserve">inter alia</w:t>
              </w:r>
              <w:r>
                <w:t xml:space="preserve">, the sponsor group holds, directly or indirectly, more than 5% of the number of issued shares of the new applicant, except that the holding arises as a result of an underwriting obligation.</w:t>
              </w:r>
            </w:p>
            <w:p>
              <w:pPr>
                <w:pStyle w:val="BodyText"/>
              </w:pPr>
              <w:pPr>
                <w:spacing w:after="220"/>
              </w:pPr>
              <w:r>
                <w:rPr>
                  <w:i/>
                </w:rPr>
                <w:t xml:space="preserve">Minimum trading price</w:t>
              </w:r>
              <w:r>
                <w:t xml:space="preserve">. The HKSE does not impose any requirement for listed companies to have or maintain a minimum trading price for their securities.</w:t>
              </w:r>
            </w:p>
            <w:p>
              <w:pPr>
                <w:pStyle w:val="BodyText"/>
              </w:pPr>
              <w:pPr>
                <w:spacing w:after="220"/>
              </w:pPr>
              <w:r>
                <w:rPr>
                  <w:i/>
                </w:rPr>
                <w:t xml:space="preserve">Currency</w:t>
              </w:r>
              <w:r>
                <w:t xml:space="preserve">. Eligible securities must be traded and settled in Hong Kong dollars, Renminbi or US dollars, even though they may be denominated in other currencies.</w:t>
              </w:r>
            </w:p>
            <w:p>
              <w:pPr>
                <w:pStyle w:val="BodyText"/>
              </w:pPr>
              <w:pPr>
                <w:spacing w:after="220"/>
              </w:pPr>
              <w:r>
                <w:rPr>
                  <w:i/>
                </w:rPr>
                <w:t xml:space="preserve">Clearing of trades</w:t>
              </w:r>
              <w:r>
                <w:t xml:space="preserve">. 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w:t>
              </w:r>
              <w:r>
                <w:t xml:space="preserve">system</w:t>
              </w:r>
              <w:r>
                <w:t xml:space="preserve">.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w:t>
              </w:r>
              <w:r>
                <w:t xml:space="preserve">. A newly listed issuer must appoint a compliance adviser from listing until the date on which the listed issuer complies with the relevant rules in respect of its financial results for the first full financial year after listing. Under GEM Listing Rules, compliance adviser has to be any corporation or authorized financial institution licensed or registered to carry on Type 6 regulated activities (advising on corporate finance) under SFO. After the prescribed period, the HKSE has discretion to direct a listed issuer to appoint a compliance adviser to undertake such role for such period in specific circumstances if a listed issuer has breached the GEM Listing Rules consistently.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long-form---principal-listing-and-maintenance-req.pdf?sc_lang=en" TargetMode="External" Id="R268c74ce2fa34a0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