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Malaysia</w:t>
      </w:r>
      <w:r w:rsidR="00480329"/>
    </w:p>
    <w:p w:rsidRPr="00BC7873" w:rsidR="00BC7873" w:rsidP="00D354EF" w:rsidRDefault="00051AB4" w14:paraId="2476CC56" w14:textId="2FB25FA9">
      <w:pPr>
        <w:pStyle w:val="Title"/>
      </w:pPr>
      <w:r w:rsidRPr="00BC7873">
        <w:t>Artificial Intelligence, Profiling and Automated Decision Making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or requirements related to creating profiles of data subjects or utilizing automated decision-making for decisions related to data subjects, including with respect to artificial intelligence?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No.</w:t>
              </w:r>
            </w:p>
            <w:p>
              <w:pPr>
                <w:pStyle w:val="BodyText"/>
              </w:pPr>
              <w:r>
                <w:t xml:space="preserve">Currently, there are no specific restrictions or requirements related to creating profiles of data subjects or utilizing automated decision making for decisions related to data subjects, including with respect to artificial intelligence, but the general principles under the PDPA apply.</w:t>
              </w:r>
            </w:p>
            <w:p>
              <w:pPr>
                <w:pStyle w:val="BodyText"/>
              </w:pPr>
              <w:r>
                <w:t xml:space="preserve">Note that the PDPD announced that new guidelines on profiling and automated decision making are expected to be released in the third quarter of 2025, which may introduce further restrictions and requirements.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such restrictions or requirements exist, are they subject to any exceptions?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Has the data privacy regulator issued guidance on data privacy and artificial intelligence, automated decision-making or profiling?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No.</w:t>
              </w:r>
            </w:p>
            <w:p>
              <w:pPr>
                <w:pStyle w:val="BodyText"/>
              </w:pPr>
              <w:r>
                <w:t xml:space="preserve">Note, however, that the PDPD announced in November 2024 that new guidelines on profiling and automated decision making are expected to be released in the third quarter of 2025.</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Has the data privacy regulator taken enforcement action in relation to artificial intelligence, including automated decision-making or profiling?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No enforcement activity to date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other (non-personal data  or cybersecurity) laws or regulations impose restrictions on use of artificial intelligence, automated decision-making or profiling?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Non-binding guidance or principles issued or in progress</w:t>
              </w:r>
            </w:p>
            <w:p>
              <w:pPr>
                <w:pStyle w:val="BodyText"/>
              </w:pPr>
              <w:r>
                <w:rPr>
                  <w:b/>
                  <w:i/>
                </w:rPr>
                <w:t xml:space="preserve">If yes, please provide brief details and a link.</w:t>
              </w:r>
            </w:p>
            <w:p>
              <w:pPr>
                <w:pStyle w:val="BodyText"/>
              </w:pPr>
              <w:r>
                <w:t xml:space="preserve">In September 2024, the Ministry of Science, Technology and Innovation published the National Guidelines on AI Governance and Ethics, which outline the following seven key principles to guide the development of responsible AI with specific guidance for the different categories of stakeholders, in support of the National Artificial Intelligence Roadmap 2021-2025:</w:t>
              </w:r>
            </w:p>
            <w:p>
              <w:pPr>
                <w:pStyle w:val="BodyText"/>
              </w:pPr>
              <w:pPr>
                <w:pStyle w:val="ListParagraph"/>
                <w:numPr>
                  <w:ilvl w:val="0"/>
                  <w:numId w:val="9"/>
                </w:numPr>
              </w:pPr>
              <w:r>
                <w:t xml:space="preserve">Fairness</w:t>
              </w:r>
            </w:p>
            <w:p>
              <w:pPr>
                <w:pStyle w:val="BodyText"/>
              </w:pPr>
              <w:pPr>
                <w:pStyle w:val="ListParagraph"/>
                <w:numPr>
                  <w:ilvl w:val="0"/>
                  <w:numId w:val="9"/>
                </w:numPr>
              </w:pPr>
              <w:r>
                <w:t xml:space="preserve">Reliability, safety and control</w:t>
              </w:r>
            </w:p>
            <w:p>
              <w:pPr>
                <w:pStyle w:val="BodyText"/>
              </w:pPr>
              <w:pPr>
                <w:pStyle w:val="ListParagraph"/>
                <w:numPr>
                  <w:ilvl w:val="0"/>
                  <w:numId w:val="9"/>
                </w:numPr>
              </w:pPr>
              <w:r>
                <w:t xml:space="preserve">Privacy and security </w:t>
              </w:r>
            </w:p>
            <w:p>
              <w:pPr>
                <w:pStyle w:val="BodyText"/>
              </w:pPr>
              <w:pPr>
                <w:pStyle w:val="ListParagraph"/>
                <w:numPr>
                  <w:ilvl w:val="0"/>
                  <w:numId w:val="9"/>
                </w:numPr>
              </w:pPr>
              <w:r>
                <w:t xml:space="preserve">Inclusiveness </w:t>
              </w:r>
            </w:p>
            <w:p>
              <w:pPr>
                <w:pStyle w:val="BodyText"/>
              </w:pPr>
              <w:pPr>
                <w:pStyle w:val="ListParagraph"/>
                <w:numPr>
                  <w:ilvl w:val="0"/>
                  <w:numId w:val="9"/>
                </w:numPr>
              </w:pPr>
              <w:r>
                <w:t xml:space="preserve">Transparency </w:t>
              </w:r>
            </w:p>
            <w:p>
              <w:pPr>
                <w:pStyle w:val="BodyText"/>
              </w:pPr>
              <w:pPr>
                <w:pStyle w:val="ListParagraph"/>
                <w:numPr>
                  <w:ilvl w:val="0"/>
                  <w:numId w:val="9"/>
                </w:numPr>
              </w:pPr>
              <w:r>
                <w:t xml:space="preserve">Accountability </w:t>
              </w:r>
            </w:p>
            <w:p>
              <w:pPr>
                <w:pStyle w:val="BodyText"/>
              </w:pPr>
              <w:pPr>
                <w:pStyle w:val="ListParagraph"/>
                <w:numPr>
                  <w:ilvl w:val="0"/>
                  <w:numId w:val="9"/>
                </w:numPr>
              </w:pPr>
              <w:r>
                <w:t xml:space="preserve">Pursuit of human benefit and happiness</w:t>
              </w:r>
            </w:p>
            <w:p>
              <w:pPr>
                <w:pStyle w:val="BodyText"/>
              </w:pPr>
              <w:pPr>
                <w:ind w:left="0" w:right="0"/>
                <w:spacing w:before="0" w:after="0"/>
              </w:pPr>
              <w:r>
                <w:t xml:space="preserve">Here are the links to the guidelines:</w:t>
              </w:r>
            </w:p>
            <w:p>
              <w:pPr>
                <w:pStyle w:val="BodyText"/>
              </w:pPr>
              <w:r>
                <w:rPr>
                  <w:b/>
                </w:rPr>
                <w:t xml:space="preserve">The National Guidelines on AI Governance &amp; Ethics</w:t>
              </w:r>
            </w:p>
            <w:p>
              <w:pPr>
                <w:pStyle w:val="BodyText"/>
              </w:pPr>
              <w:hyperlink w:history="true" r:id="Rb50375064ca94ab2">
                <w:r>
                  <w:rPr>
                    <w:rStyle w:val="Hyperlink"/>
                  </w:rPr>
                  <w:t xml:space="preserve">https://mastic.mosti.gov.my/publication/the-national-guidelines-on-ai-governance-ethics/</w:t>
                </w:r>
              </w:hyperlink>
            </w:p>
            <w:p>
              <w:pPr>
                <w:pStyle w:val="BodyText"/>
              </w:pPr>
              <w:r>
                <w:rPr>
                  <w:b/>
                </w:rPr>
                <w:t xml:space="preserve">Artificial Intelligence Roadmap 2021-2025</w:t>
              </w:r>
            </w:p>
            <w:p>
              <w:pPr>
                <w:pStyle w:val="BodyText"/>
              </w:pPr>
              <w:hyperlink w:history="true" r:id="R5dcff29bd1684fc4">
                <w:r>
                  <w:rPr>
                    <w:rStyle w:val="Hyperlink"/>
                  </w:rPr>
                  <w:t xml:space="preserve">https://mastic.mosti.gov.my/publication/artificial-intelligence-roadmap-2021-2025/</w:t>
                </w:r>
              </w:hyperlink>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mastic.mosti.gov.my/publication/the-national-guidelines-on-ai-governance-ethics/" TargetMode="External" Id="Rb50375064ca94ab2" /><Relationship Type="http://schemas.openxmlformats.org/officeDocument/2006/relationships/hyperlink" Target="https://mastic.mosti.gov.my/publication/artificial-intelligence-roadmap-2021-2025/" TargetMode="External" Id="R5dcff29bd1684fc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