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Malaysia</w:t>
      </w:r>
      <w:r w:rsidR="00480329"/>
    </w:p>
    <w:p w:rsidRPr="00BC7873" w:rsidR="00BC7873" w:rsidP="00D354EF" w:rsidRDefault="00051AB4" w14:paraId="2476CC56" w14:textId="2FB25FA9">
      <w:pPr>
        <w:pStyle w:val="Title"/>
      </w:pPr>
      <w:r w:rsidRPr="00BC7873">
        <w:t>Data privacy and cybersecurity in a transactional context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Has the data privacy authority issued any guidance on data privacy compliance in the context of transactional activity (including, but not limited to, share sales, asset sales, reorganizations or spinouts)?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No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 the context of an asset sale (the sale of a separate business unit as a going concern), does the acquiring entity inherit liability for pre-acquisition data privacy or cybersecurity breaches (connected with the assets that are the subject of the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It depends (for example, on the way the asset sale is structured, and/or the assets being acquired)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so, how would any regulatory fines be calculated?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Unclear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 the context of a share sale (where the acquiring entity acquires 100% of the shares of a target company), does the acquiring entity inherit liability for pre-acquisition data privacy or cybersecurity breaches (connected with the target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w:t>
              </w:r>
              <w:r>
                <w:rPr>
                  <w:i/>
                </w:rPr>
                <w:t xml:space="preserve">31 December 2024</w:t>
              </w:r>
            </w:p>
            <w:p>
              <w:pPr>
                <w:pStyle w:val="BodyText"/>
              </w:pPr>
              <w:r>
                <w:t xml:space="preserve">It depends (for example, on the way the share sale is structured)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so, how would any regulatory fines be calculated?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Unclear</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