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Malaysia</w:t>
      </w:r>
      <w:r w:rsidR="00480329"/>
    </w:p>
    <w:p w:rsidRPr="00BC7873" w:rsidR="00BC7873" w:rsidP="00D354EF" w:rsidRDefault="00051AB4" w14:paraId="2476CC56" w14:textId="2FB25FA9">
      <w:pPr>
        <w:pStyle w:val="Title"/>
      </w:pPr>
      <w:r w:rsidRPr="00BC7873">
        <w:t>Key Data &amp; Cyber 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drawing>
                  <wp:inline distT="0" distB="0" distL="0" distR="0">
                    <wp:extent cx="1428750" cy="762000"/>
                    <wp:effectExtent l="19050" t="0" r="0" b="0"/>
                    <wp:docPr id="2" name="https://resourcehub.bakermckenzie.com/en/-/media/global-data-and-cyber-handbook/images/kualalumpur-logo.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data-and-cyber-handbook/images/kualalumpur-logo.png" descr="wong"/>
                            <pic:cNvPicPr>
                              <a:picLocks noChangeAspect="1" noChangeArrowheads="1"/>
                            </pic:cNvPicPr>
                          </pic:nvPicPr>
                          <pic:blipFill>
                            <a:blip r:embed="Rec612f04dbfe4f20"/>
                            <a:srcRect/>
                            <a:stretch>
                              <a:fillRect/>
                            </a:stretch>
                          </pic:blipFill>
                          <pic:spPr bwMode="auto">
                            <a:xfrm>
                              <a:off x="0" y="0"/>
                              <a:ext cx="1428750" cy="762000"/>
                            </a:xfrm>
                            <a:prstGeom prst="rect">
                              <a:avLst/>
                            </a:prstGeom>
                          </pic:spPr>
                        </pic:pic>
                      </a:graphicData>
                    </a:graphic>
                  </wp:inline>
                </w:drawing>
              </w:r>
            </w:p>
            <w:p>
              <w:pPr>
                <w:pStyle w:val="BodyText"/>
              </w:pPr>
              <w:r>
                <w:t xml:space="preserve">Wong &amp; Partners is a member of Baker &amp; McKenzie International.</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ec612f04dbfe4f2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