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Mexico</w:t>
      </w:r>
      <w:r w:rsidR="00480329"/>
    </w:p>
    <w:p w:rsidRPr="00BC7873" w:rsidR="00BC7873" w:rsidP="00D354EF" w:rsidRDefault="00051AB4" w14:paraId="2476CC56" w14:textId="2FB25FA9">
      <w:pPr>
        <w:pStyle w:val="Title"/>
      </w:pPr>
      <w:r w:rsidRPr="00BC7873">
        <w:t>Timeline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Timeline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As a general rule, a takeover tender offer process for a mandatory tender offer is similar to the process that applies to the voluntary tender offer, with certain exceptions. The table below contains an overview of the main steps of a typical voluntary tender offer process under Mexican law.</w:t>
              </w:r>
            </w:p>
            <w:tbl>
              <w:pPr>
                <w:pStyle w:val="BodyText"/>
              </w:pPr>
              <w:tblPr>
                <w:tblStyle w:val="TableGrid"/>
                <w:tblW w:w="5000" w:type="pct"/>
              </w:tblPr>
              <w:tblGrid>
                <w:gridCol/>
              </w:tblGrid>
              <w:tr>
                <w:tc>
                  <w:tcPr>
                    <w:tcW w:w="5000" w:type="pct"/>
                    <w:vAlign w:val="center"/>
                  </w:tcPr>
                  <w:p>
                    <w:r>
                      <w:rPr>
                        <w:b/>
                      </w:rPr>
                      <w:t xml:space="preserve">Steps and Timeline</w:t>
                    </w:r>
                  </w:p>
                </w:tc>
              </w:tr>
              <w:tr>
                <w:tc>
                  <w:tcPr>
                    <w:tcW w:w="5000" w:type="pct"/>
                    <w:vAlign w:val="center"/>
                  </w:tcPr>
                  <w:p>
                    <w:r>
                      <w:t xml:space="preserve">1. Preparatory stage:</w:t>
                    </w:r>
                  </w:p>
                  <w:p>
                    <w:pPr>
                      <w:pStyle w:val="ListParagraph"/>
                      <w:numPr>
                        <w:ilvl w:val="0"/>
                        <w:numId w:val="9"/>
                      </w:numPr>
                    </w:pPr>
                    <w:r>
                      <w:t xml:space="preserve">Preparation of the tender offer (study, due diligence, financing, draft prospectus and offer notice).</w:t>
                    </w:r>
                  </w:p>
                  <w:p>
                    <w:pPr>
                      <w:pStyle w:val="ListParagraph"/>
                      <w:numPr>
                        <w:ilvl w:val="0"/>
                        <w:numId w:val="9"/>
                      </w:numPr>
                    </w:pPr>
                    <w:r>
                      <w:t xml:space="preserve">The offeror approaches the target and/or its key shareholders.</w:t>
                    </w:r>
                  </w:p>
                  <w:p>
                    <w:pPr>
                      <w:pStyle w:val="ListParagraph"/>
                      <w:numPr>
                        <w:ilvl w:val="0"/>
                        <w:numId w:val="9"/>
                      </w:numPr>
                    </w:pPr>
                    <w:r>
                      <w:t xml:space="preserve">Negotiations with the target and/or its key shareholders.</w:t>
                    </w:r>
                  </w:p>
                </w:tc>
              </w:tr>
              <w:tr>
                <w:tc>
                  <w:tcPr>
                    <w:tcW w:w="5000" w:type="pct"/>
                    <w:vAlign w:val="center"/>
                  </w:tcPr>
                  <w:p>
                    <w:r>
                      <w:t xml:space="preserve">2. The offeror files the offer with the CNBV. The filing can be public or confidential.</w:t>
                    </w:r>
                  </w:p>
                </w:tc>
              </w:tr>
              <w:tr>
                <w:tc>
                  <w:tcPr>
                    <w:tcW w:w="5000" w:type="pct"/>
                    <w:vAlign w:val="center"/>
                  </w:tcPr>
                  <w:p>
                    <w:r>
                      <w:t xml:space="preserve">3. Review and approval of prospectus of the offeror by the CNBV.</w:t>
                    </w:r>
                  </w:p>
                  <w:p>
                    <w:r>
                      <w:t xml:space="preserve">Approval: Four to eight weeks.</w:t>
                    </w:r>
                  </w:p>
                </w:tc>
              </w:tr>
              <w:tr>
                <w:tc>
                  <w:tcPr>
                    <w:tcW w:w="5000" w:type="pct"/>
                    <w:vAlign w:val="center"/>
                  </w:tcPr>
                  <w:p>
                    <w:r>
                      <w:t xml:space="preserve">4. Publication of the prospectus after approval by the CNBV.</w:t>
                    </w:r>
                  </w:p>
                </w:tc>
              </w:tr>
              <w:tr>
                <w:tc>
                  <w:tcPr>
                    <w:tcW w:w="5000" w:type="pct"/>
                    <w:vAlign w:val="center"/>
                  </w:tcPr>
                  <w:p>
                    <w:r>
                      <w:t xml:space="preserve">5. Launch of the acceptance period. Duration: not less than 20 business days.</w:t>
                    </w:r>
                  </w:p>
                </w:tc>
              </w:tr>
              <w:tr>
                <w:tc>
                  <w:tcPr>
                    <w:tcW w:w="5000" w:type="pct"/>
                    <w:vAlign w:val="center"/>
                  </w:tcPr>
                  <w:p>
                    <w:r>
                      <w:t xml:space="preserve">6. Opinion from the board of directors, regarding (i) the price of the offer; and (ii) any conflict of interests, must be filed within 10 business days from the date the offer is launched. The term may be increased or decreased by the CNBV.</w:t>
                    </w:r>
                  </w:p>
                </w:tc>
              </w:tr>
              <w:tr>
                <w:tc>
                  <w:tcPr>
                    <w:tcW w:w="5000" w:type="pct"/>
                    <w:vAlign w:val="center"/>
                  </w:tcPr>
                  <w:p>
                    <w:r>
                      <w:t xml:space="preserve">7. Publication of results: one business day after the end of the offer period.</w:t>
                    </w:r>
                  </w:p>
                </w:tc>
              </w:tr>
              <w:tr>
                <w:tc>
                  <w:tcPr>
                    <w:tcW w:w="5000" w:type="pct"/>
                    <w:vAlign w:val="center"/>
                  </w:tcPr>
                  <w:p>
                    <w:r>
                      <w:t xml:space="preserve">8. Payment of the offered consideration by the offeror: One business day after the end of the offer period.</w:t>
                    </w:r>
                  </w:p>
                </w:tc>
              </w:tr>
              <w:tr>
                <w:tc>
                  <w:tcPr>
                    <w:tcW w:w="5000" w:type="pct"/>
                    <w:vAlign w:val="center"/>
                  </w:tcPr>
                  <w:p>
                    <w:r>
                      <w:t xml:space="preserve">9. Squeeze-out or sell-out: Tender offer for a period of 180 days upon request from the CNBV.</w:t>
                    </w:r>
                  </w:p>
                </w:tc>
              </w:tr>
              <w:tr>
                <w:tc>
                  <w:tcPr>
                    <w:tcW w:w="5000" w:type="pct"/>
                    <w:vAlign w:val="center"/>
                  </w:tcPr>
                  <w:p>
                    <w:r>
                      <w:t xml:space="preserve">10. Publication of results: One business day after the end of the offer period.</w:t>
                    </w:r>
                  </w:p>
                </w:tc>
              </w:tr>
              <w:tr>
                <w:tc>
                  <w:tcPr>
                    <w:tcW w:w="5000" w:type="pct"/>
                    <w:vAlign w:val="center"/>
                  </w:tcPr>
                  <w:p>
                    <w:r>
                      <w:t xml:space="preserve">11. Payment of the offered consideration by the offeror: One business day after the end of the offer period.</w:t>
                    </w:r>
                  </w:p>
                </w:tc>
              </w:tr>
            </w:tbl>
            <w:p>
              <w:pPr>
                <w:pStyle w:val="BodyText"/>
              </w:pPr>
              <w:r>
                <w:t xml:space="preserve">Set out below is an overview of the main steps for a voluntary tender offer in Mexico.</w:t>
              </w:r>
            </w:p>
            <w:p>
              <w:pPr>
                <w:pStyle w:val="BodyText"/>
              </w:pPr>
              <w:r>
                <w:rPr>
                  <w:b/>
                </w:rPr>
                <w:t xml:space="preserve">5.1 Indicative timeline of a voluntary tender offer</w:t>
              </w:r>
            </w:p>
            <w:p>
              <w:pPr>
                <w:pStyle w:val="BodyText"/>
              </w:pPr>
              <w:r>
                <w:t xml:space="preserve">Click here to view diagram for </w:t>
              </w:r>
              <w:hyperlink w:history="true" r:id="R919144519390499d">
                <w:r>
                  <w:rPr>
                    <w:rStyle w:val="Hyperlink"/>
                  </w:rPr>
                  <w:t xml:space="preserve">Mexico</w:t>
                </w:r>
              </w:hyperlink>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images/timelines/mexico.png" TargetMode="External" Id="R919144519390499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