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Australia</w:t>
      </w:r>
      <w:r w:rsidR="00480329"/>
    </w:p>
    <w:p w:rsidRPr="00BC7873" w:rsidR="00BC7873" w:rsidP="00D354EF" w:rsidRDefault="00051AB4" w14:paraId="2476CC56" w14:textId="2FB25FA9">
      <w:pPr>
        <w:pStyle w:val="Title"/>
      </w:pPr>
      <w:r w:rsidRPr="00BC7873">
        <w:t>Data access requirements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Are there any local laws that require a cloud service provider to be able to access the data it hosts?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entity or the data is in Australia, then the cloud service provider could be subject to Australian subpoenas/warrants, etc., in the normal way.</w:t>
              </w:r>
            </w:p>
            <w:p>
              <w:pPr>
                <w:pStyle w:val="BodyText"/>
              </w:pPr>
              <w:r>
                <w:t xml:space="preserve">However, in terms of particularly onerous/out of the ordinary Australian requirements, Part 15 of the Telecommunications Act 1997 (Cth) ("</w:t>
              </w:r>
              <w:r>
                <w:rPr>
                  <w:b/>
                </w:rPr>
                <w:t xml:space="preserve">Telco Act</w:t>
              </w:r>
              <w:r>
                <w:t xml:space="preserve">") enables relevant law enforcement agencies to issue various requests and orders to "designated communications providers," including the following:</w:t>
              </w:r>
            </w:p>
            <w:p>
              <w:pPr>
                <w:pStyle w:val="BodyText"/>
              </w:pPr>
              <w:pPr>
                <w:pStyle w:val="ListParagraph"/>
                <w:numPr>
                  <w:ilvl w:val="0"/>
                  <w:numId w:val="9"/>
                </w:numPr>
              </w:pPr>
              <w:r>
                <w:t xml:space="preserve">Technology assistance requests (requesting voluntary assistance)</w:t>
              </w:r>
            </w:p>
            <w:p>
              <w:pPr>
                <w:pStyle w:val="BodyText"/>
              </w:pPr>
              <w:pPr>
                <w:pStyle w:val="ListParagraph"/>
                <w:numPr>
                  <w:ilvl w:val="0"/>
                  <w:numId w:val="9"/>
                </w:numPr>
              </w:pPr>
              <w:r>
                <w:t xml:space="preserve">Technology assistance notices (requiring certain types of assistance to law enforcement agencies)</w:t>
              </w:r>
            </w:p>
            <w:p>
              <w:pPr>
                <w:pStyle w:val="BodyText"/>
              </w:pPr>
              <w:pPr>
                <w:pStyle w:val="ListParagraph"/>
                <w:numPr>
                  <w:ilvl w:val="0"/>
                  <w:numId w:val="9"/>
                </w:numPr>
              </w:pPr>
              <w:r>
                <w:t xml:space="preserve">Technology capability notices (these could be used to compel a designated communications provider to build new capabilities to enable assistance) </w:t>
              </w:r>
            </w:p>
            <w:p>
              <w:pPr>
                <w:pStyle w:val="BodyText"/>
              </w:pPr>
              <w:r>
                <w:t xml:space="preserve">There are some limitations on this (e.g., see Section 317ZG of the Telco Act), but the acts or things that a designated communications provider could be required to do could be broad; there is a long list in the legislation that includes removing one or more forms of electronic protection. This could also potentially include building a capability to provide access to encrypted communications and data.</w:t>
              </w:r>
            </w:p>
            <w:p>
              <w:pPr>
                <w:pStyle w:val="BodyText"/>
              </w:pPr>
              <w:r>
                <w:t xml:space="preserve">"Designated communications providers" include the following:</w:t>
              </w:r>
            </w:p>
            <w:p>
              <w:pPr>
                <w:pStyle w:val="BodyText"/>
              </w:pPr>
              <w:pPr>
                <w:pStyle w:val="ListParagraph"/>
                <w:numPr>
                  <w:ilvl w:val="0"/>
                  <w:numId w:val="10"/>
                </w:numPr>
              </w:pPr>
              <w:r>
                <w:t xml:space="preserve">A service that facilitates, or is ancillary or incidental to, the supply of a listed carriage service</w:t>
              </w:r>
            </w:p>
            <w:p>
              <w:pPr>
                <w:pStyle w:val="BodyText"/>
              </w:pPr>
              <w:pPr>
                <w:pStyle w:val="ListParagraph"/>
                <w:numPr>
                  <w:ilvl w:val="0"/>
                  <w:numId w:val="10"/>
                </w:numPr>
              </w:pPr>
              <w:r>
                <w:t xml:space="preserve">An electronic service that has one or more end users in Australia</w:t>
              </w:r>
            </w:p>
            <w:p>
              <w:pPr>
                <w:pStyle w:val="BodyText"/>
              </w:pPr>
              <w:pPr>
                <w:pStyle w:val="ListParagraph"/>
                <w:numPr>
                  <w:ilvl w:val="0"/>
                  <w:numId w:val="10"/>
                </w:numPr>
              </w:pPr>
              <w:r>
                <w:t xml:space="preserve">A service that facilitates, or is ancillary or incidental to, the provision of an electronic service that has one or more end users in Australia</w:t>
              </w:r>
            </w:p>
            <w:p>
              <w:pPr>
                <w:pStyle w:val="BodyText"/>
              </w:pPr>
              <w:pPr>
                <w:pStyle w:val="ListParagraph"/>
                <w:numPr>
                  <w:ilvl w:val="0"/>
                  <w:numId w:val="10"/>
                </w:numPr>
              </w:pPr>
              <w:r>
                <w:t xml:space="preserve">A person who develops, supplies or updates software used, for use, or likely to be used, in connection with the following:</w:t>
              </w:r>
            </w:p>
            <w:p>
              <w:pPr>
                <w:pStyle w:val="BodyText"/>
              </w:pPr>
              <w:pPr>
                <w:pStyle w:val="ListParagraph"/>
                <w:numPr>
                  <w:ilvl w:val="1"/>
                  <w:numId w:val="11"/>
                </w:numPr>
                <w:ind w:left="1560"/>
              </w:pPr>
              <w:r>
                <w:t xml:space="preserve">A listed carriage service</w:t>
              </w:r>
            </w:p>
            <w:p>
              <w:pPr>
                <w:pStyle w:val="BodyText"/>
              </w:pPr>
              <w:pPr>
                <w:pStyle w:val="ListParagraph"/>
                <w:numPr>
                  <w:ilvl w:val="1"/>
                  <w:numId w:val="11"/>
                </w:numPr>
                <w:ind w:left="1560"/>
              </w:pPr>
              <w:r>
                <w:t xml:space="preserve">An electronic service that has one or more end users in Australia</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https://resourcehub.bakermckenzie.com/pl-pl/resources/cloud-compliance-center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