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VAT/GST Rates &amp; Thresholds - Bulgaria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VAT / GST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Rates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Super reduced rate</w:t>
                  </w:r>
                </w:p>
                <w:p>
                  <w:pPr>
                    <w:pStyle w:val="BodyText"/>
                  </w:pPr>
                  <w:r>
                    <w:t xml:space="preserve">0</w:t>
                  </w:r>
                  <w:hyperlink w:history="true" r:id="R1b9a4854b4dc479f">
                    <w:r>
                      <w:rPr>
                        <w:rStyle w:val="Hyperlink"/>
                        <w:vertAlign w:val="superscript"/>
                      </w:rPr>
                      <w:t xml:space="preserve">[1]</w:t>
                    </w:r>
                  </w:hyperlink>
                </w:p>
                <w:p>
                  <w:pPr>
                    <w:pStyle w:val="BodyText"/>
                  </w:pPr>
                  <w:r>
                    <w:rPr>
                      <w:b/>
                    </w:rPr>
                    <w:t xml:space="preserve">Reduced rate</w:t>
                  </w:r>
                </w:p>
                <w:p>
                  <w:pPr>
                    <w:pStyle w:val="BodyText"/>
                  </w:pPr>
                  <w:r>
                    <w:t xml:space="preserve">9</w:t>
                  </w:r>
                  <w:hyperlink w:history="true" r:id="R2349dd441dae42ba">
                    <w:r>
                      <w:rPr>
                        <w:rStyle w:val="Hyperlink"/>
                        <w:vertAlign w:val="superscript"/>
                      </w:rPr>
                      <w:t xml:space="preserve">[2]</w:t>
                    </w:r>
                  </w:hyperlink>
                </w:p>
                <w:p>
                  <w:pPr>
                    <w:pStyle w:val="BodyText"/>
                  </w:pPr>
                  <w:r>
                    <w:rPr>
                      <w:b/>
                    </w:rPr>
                    <w:t xml:space="preserve">Standard rate</w:t>
                  </w:r>
                </w:p>
                <w:p>
                  <w:pPr>
                    <w:pStyle w:val="BodyText"/>
                  </w:pPr>
                  <w:r>
                    <w:t xml:space="preserve">20</w:t>
                  </w:r>
                </w:p>
                <w:p>
                  <w:pPr>
                    <w:pStyle w:val="BodyText"/>
                  </w:pPr>
                  <w:r>
                    <w:rPr>
                      <w:b/>
                    </w:rPr>
                    <w:t xml:space="preserve">Parking rate</w:t>
                  </w:r>
                </w:p>
                <w:p>
                  <w:pPr>
                    <w:pStyle w:val="BodyText"/>
                  </w:pPr>
                  <w:r>
                    <w:t xml:space="preserve">Not applicable</w:t>
                  </w:r>
                </w:p>
                <w:p>
                  <w:pPr>
                    <w:pStyle w:val="BodyText"/>
                  </w:pPr>
                  <w:r>
                    <w:t xml:space="preserve">_______________ </w:t>
                  </w:r>
                </w:p>
                <w:p>
                  <w:pPr>
                    <w:pStyle w:val="BodyText"/>
                  </w:pPr>
                  <w:hyperlink w:history="true" r:id="Re1df0aaabbc64d7c">
                    <w:r>
                      <w:rPr>
                        <w:rStyle w:val="Hyperlink"/>
                        <w:u w:val="single"/>
                      </w:rPr>
                      <w:t xml:space="preserve">[1] </w:t>
                    </w:r>
                  </w:hyperlink>
                  <w:r>
                    <w:t xml:space="preserve"> </w:t>
                  </w:r>
                  <w:r>
                    <w:t xml:space="preserve">Certain supplies are subject to 0% (e.g. international transport of goods and passengers, supplies of gold to central banks, etc.). </w:t>
                  </w:r>
                </w:p>
                <w:p>
                  <w:pPr>
                    <w:pStyle w:val="BodyText"/>
                  </w:pPr>
                  <w:hyperlink w:history="true" r:id="Ra8502b882ec24a76">
                    <w:r>
                      <w:rPr>
                        <w:rStyle w:val="Hyperlink"/>
                        <w:u w:val="single"/>
                      </w:rPr>
                      <w:t xml:space="preserve">[2] </w:t>
                    </w:r>
                  </w:hyperlink>
                  <w:r>
                    <w:t xml:space="preserve">The reduced VAT rate of 9% is applicable to accommodation, provided in hotels and similar establishments, including the provision of holiday accommodation, and letting of places for camping or for caravans, if the supply of service is with place of supply in the country, as well as to books, periodicals - newspapers and journals, baby food, baby diapers and similar baby hygiene products. </w:t>
                  </w:r>
                </w:p>
                <w:p>
                  <w:pPr>
                    <w:pStyle w:val="BodyText"/>
                  </w:pPr>
                  <w:r>
                    <w:t xml:space="preserve"> </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https://resourcehub.bakermckenzie.com/en/resources/vatgst-rates--thresholds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ftn1" TargetMode="External" Id="R1b9a4854b4dc479f" /><Relationship Type="http://schemas.openxmlformats.org/officeDocument/2006/relationships/hyperlink" Target="https://resourcehub.bakermckenzie.com/en#ftn2" TargetMode="External" Id="R2349dd441dae42ba" /><Relationship Type="http://schemas.openxmlformats.org/officeDocument/2006/relationships/hyperlink" Target="https://resourcehub.bakermckenzie.com/en#ftnref1" TargetMode="External" Id="Re1df0aaabbc64d7c" /><Relationship Type="http://schemas.openxmlformats.org/officeDocument/2006/relationships/hyperlink" Target="https://resourcehub.bakermckenzie.com/en#ftnref2" TargetMode="External" Id="Ra8502b882ec24a7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