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 Germany</w:t>
      </w:r>
      <w:r w:rsidR="00480329"/>
    </w:p>
    <w:p w:rsidRPr="00BC7873" w:rsidR="00BC7873" w:rsidP="00D354EF" w:rsidRDefault="00051AB4" w14:paraId="2476CC56" w14:textId="2FB25FA9">
      <w:pPr>
        <w:pStyle w:val="Title"/>
      </w:pPr>
      <w:r w:rsidRPr="00BC7873">
        <w:t>International Data Transfer</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restrictions on the transfer of personal data to third countries?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17 December 2024</w:t>
              </w:r>
            </w:p>
            <w:p>
              <w:pPr>
                <w:pStyle w:val="BodyText"/>
              </w:pPr>
              <w:r>
                <w:t xml:space="preserve">Yes.</w:t>
              </w:r>
            </w:p>
            <w:p>
              <w:pPr>
                <w:pStyle w:val="BodyText"/>
              </w:pPr>
              <w:r>
                <w:t xml:space="preserve">Third country is not defined in the GDPR, but means countries (1) outside of the European Union, and (2) countries outside of the European Economic Area.</w:t>
              </w:r>
            </w:p>
            <w:p>
              <w:pPr>
                <w:pStyle w:val="BodyText"/>
              </w:pPr>
              <w:r>
                <w:t xml:space="preserve">Transfers of personal data to third countries are only permissible if there is a legal basis for the processing/transfer and one of the following applies:</w:t>
              </w:r>
            </w:p>
            <w:p>
              <w:pPr>
                <w:pStyle w:val="BodyText"/>
              </w:pPr>
              <w:pPr>
                <w:pStyle w:val="ListParagraph"/>
                <w:numPr>
                  <w:ilvl w:val="0"/>
                  <w:numId w:val="9"/>
                </w:numPr>
              </w:pPr>
              <w:r>
                <w:t xml:space="preserve">approved adequate/whitelisted jurisdictions</w:t>
              </w:r>
            </w:p>
            <w:p>
              <w:pPr>
                <w:pStyle w:val="BodyText"/>
              </w:pPr>
              <w:pPr>
                <w:pStyle w:val="ListParagraph"/>
                <w:numPr>
                  <w:ilvl w:val="0"/>
                  <w:numId w:val="9"/>
                </w:numPr>
              </w:pPr>
              <w:r>
                <w:t xml:space="preserve">to holders of specific certifications or followers of specific code of conduct programs each approved by the relevant data protection and cybersecurity authority (e.g., EU-US Data Privacy Framework)</w:t>
              </w:r>
            </w:p>
            <w:p>
              <w:pPr>
                <w:pStyle w:val="BodyText"/>
              </w:pPr>
              <w:pPr>
                <w:pStyle w:val="ListParagraph"/>
                <w:numPr>
                  <w:ilvl w:val="0"/>
                  <w:numId w:val="9"/>
                </w:numPr>
              </w:pPr>
              <w:r>
                <w:t xml:space="preserve">approved standard contractual clauses</w:t>
              </w:r>
            </w:p>
            <w:p>
              <w:pPr>
                <w:pStyle w:val="BodyText"/>
              </w:pPr>
              <w:pPr>
                <w:pStyle w:val="ListParagraph"/>
                <w:numPr>
                  <w:ilvl w:val="0"/>
                  <w:numId w:val="9"/>
                </w:numPr>
              </w:pPr>
              <w:r>
                <w:t xml:space="preserve">binding corporate rules</w:t>
              </w:r>
            </w:p>
            <w:p>
              <w:pPr>
                <w:pStyle w:val="BodyText"/>
              </w:pPr>
              <w:pPr>
                <w:pStyle w:val="ListParagraph"/>
                <w:numPr>
                  <w:ilvl w:val="0"/>
                  <w:numId w:val="9"/>
                </w:numPr>
              </w:pPr>
              <w:r>
                <w:t xml:space="preserve">derogations, such as consent, contract performance, necessity to establish, exercise or defend legal claims</w:t>
              </w:r>
            </w:p>
            <w:p>
              <w:pPr>
                <w:pStyle w:val="BodyText"/>
              </w:pPr>
              <w:pPr>
                <w:pStyle w:val="ListParagraph"/>
                <w:numPr>
                  <w:ilvl w:val="0"/>
                  <w:numId w:val="9"/>
                </w:numPr>
              </w:pPr>
              <w:r>
                <w:t xml:space="preserve">other solutions:</w:t>
              </w:r>
            </w:p>
            <w:p>
              <w:pPr>
                <w:pStyle w:val="BodyText"/>
              </w:pPr>
              <w:r>
                <w:t xml:space="preserve">ad-hoc contracts approved by the data protection authority</w:t>
              </w:r>
            </w:p>
            <w:p>
              <w:pPr>
                <w:pStyle w:val="BodyText"/>
              </w:pPr>
              <w:r>
                <w:t xml:space="preserve">If the transfer is based on "appropriate safeguards" data exporters and data importers are additionally required to carry out a "data transfer impact assessment" and, if applicable, to implement supplementary measures.</w:t>
              </w:r>
            </w:p>
            <w:p>
              <w:pPr>
                <w:pStyle w:val="BodyText"/>
              </w:pPr>
              <w:r>
                <w:t xml:space="preserve">The German Data Protection Conference (conference consisting of all independent German Federal and State Data Protection Supervisory Authorities) published guidance with respect to the EU-US Data Privacy Framework in September 2023 (only available in German </w:t>
              </w:r>
              <w:hyperlink w:history="true" r:id="R9d724036a3e3453a">
                <w:r>
                  <w:rPr>
                    <w:rStyle w:val="Hyperlink"/>
                  </w:rPr>
                  <w:t xml:space="preserve">here</w:t>
                </w:r>
              </w:hyperlink>
              <w:r>
                <w:t xml:space="preserve">).</w:t>
              </w:r>
            </w:p>
          </w:sdtContent>
        </w:sdt>
      </w:sdtContent>
    </w:sdt>
    <w:p>
      <w:pPr>
        <w:pStyle w:val="Disclaimer"/>
      </w:pPr>
      <w:r>
        <w:rPr>
          <w:sz w:val="18"/>
        </w:rPr>
        <w:t xml:space="preserve">Copyright © 2025 Baker &amp; McKenzie. All rights reserved. </w:t>
      </w:r>
      <w:r>
        <w:rPr>
          <w:b/>
          <w:sz w:val="18"/>
        </w:rPr>
        <w:t xml:space="preserve">Ownership:</w:t>
      </w:r>
      <w:r>
        <w:rPr>
          <w:sz w:val="18"/>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8"/>
        </w:rPr>
        <w:t xml:space="preserve">Non-reliance and exclusion:</w:t>
      </w:r>
      <w:r>
        <w:rPr>
          <w:sz w:val="18"/>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8"/>
        </w:rPr>
        <w:t xml:space="preserve">Attorney Advertising:</w:t>
      </w:r>
      <w:r>
        <w:rPr>
          <w:sz w:val="18"/>
        </w:rPr>
        <w:t xml:space="preserve"> This Content may qualify as “Attorney Advertising” requiring notice in some jurisdictions. To the extent that this Content may qualify as Attorney Advertising, PRIOR RESULTS DO NOT GUARANTEE A SIMILAR OUTCOME. </w:t>
      </w:r>
      <w:r>
        <w:rPr>
          <w:b/>
          <w:sz w:val="18"/>
        </w:rPr>
        <w:t xml:space="preserve">Reproduction:</w:t>
      </w:r>
      <w:r>
        <w:rPr>
          <w:sz w:val="18"/>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datenschutzkonferenz-online.de/media/ah/230904_DSK_Ah_EU_US.pdf" TargetMode="External" Id="R9d724036a3e3453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