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Australian Securities Exchange</w:t>
      </w:r>
      <w:r w:rsidR="00480329"/>
    </w:p>
    <w:p w:rsidRPr="00BC7873" w:rsidR="00BC7873" w:rsidP="00D354EF" w:rsidRDefault="00051AB4" w14:paraId="2476CC56" w14:textId="2FB25FA9">
      <w:pPr>
        <w:pStyle w:val="Title"/>
      </w:pPr>
      <w:r w:rsidRPr="00BC7873">
        <w:t>Continuing obligations/periodic reporting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Continuing obligations/periodic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Companies listed on the ASX have a number of continuous disclosure and ongoing financial reporting obligations.</w:t>
              </w:r>
            </w:p>
            <w:p>
              <w:pPr>
                <w:pStyle w:val="BodyText"/>
              </w:pPr>
              <w:r>
                <w:t xml:space="preserve">A foreign company admitted as an ASX Listing, must comply with all the ASX listing rules in the same way as an Australian company, irrespective of whether it is already listed on another stock exchange, unless it is granted a waiver of any such requirements by the ASX.</w:t>
              </w:r>
            </w:p>
            <w:p>
              <w:pPr>
                <w:pStyle w:val="BodyText"/>
              </w:pPr>
              <w:r>
                <w:t xml:space="preserve">The extent to which the ASX may be prepared to grant such waivers will depend on factors such as:</w:t>
              </w:r>
            </w:p>
            <w:p>
              <w:pPr>
                <w:pStyle w:val="BodyText"/>
              </w:pPr>
              <w:pPr>
                <w:pStyle w:val="ListParagraph"/>
                <w:numPr>
                  <w:ilvl w:val="0"/>
                  <w:numId w:val="9"/>
                </w:numPr>
              </w:pPr>
              <w:r>
                <w:t xml:space="preserve">Whether the corresponding requirement of the home stock exchange is consistent with the underlying policy of the relevant ASX listing rule.</w:t>
              </w:r>
            </w:p>
            <w:p>
              <w:pPr>
                <w:pStyle w:val="BodyText"/>
              </w:pPr>
              <w:pPr>
                <w:pStyle w:val="ListParagraph"/>
                <w:numPr>
                  <w:ilvl w:val="0"/>
                  <w:numId w:val="9"/>
                </w:numPr>
              </w:pPr>
              <w:r>
                <w:t xml:space="preserve">The company track record in complying with the rules of its home stock exchange.</w:t>
              </w:r>
            </w:p>
            <w:p>
              <w:pPr>
                <w:pStyle w:val="BodyText"/>
              </w:pPr>
              <w:pPr>
                <w:pStyle w:val="ListParagraph"/>
                <w:numPr>
                  <w:ilvl w:val="0"/>
                  <w:numId w:val="9"/>
                </w:numPr>
              </w:pPr>
              <w:r>
                <w:t xml:space="preserve">Whether the inconvenience of complying with the relevant ASX listing rules, in addition to the rules of its home stock exchange, outweighs any detriment to users of the ASX markets from not applying ASX's requirements.</w:t>
              </w:r>
            </w:p>
            <w:p>
              <w:pPr>
                <w:pStyle w:val="BodyText"/>
              </w:pPr>
              <w:r>
                <w:t xml:space="preserve">A foreign company admitted as an ASX Foreign Exempt Listing must:</w:t>
              </w:r>
            </w:p>
            <w:p>
              <w:pPr>
                <w:pStyle w:val="BodyText"/>
              </w:pPr>
              <w:pPr>
                <w:pStyle w:val="ListParagraph"/>
                <w:numPr>
                  <w:ilvl w:val="0"/>
                  <w:numId w:val="10"/>
                </w:numPr>
              </w:pPr>
              <w:r>
                <w:t xml:space="preserve">Continue to comply with the listing rules of its overseas home stock exchange.</w:t>
              </w:r>
            </w:p>
            <w:p>
              <w:pPr>
                <w:pStyle w:val="BodyText"/>
              </w:pPr>
              <w:pPr>
                <w:pStyle w:val="ListParagraph"/>
                <w:numPr>
                  <w:ilvl w:val="0"/>
                  <w:numId w:val="10"/>
                </w:numPr>
              </w:pPr>
              <w:r>
                <w:t xml:space="preserve">Provide the ASX with copies of all information provided to that home exchange.</w:t>
              </w:r>
            </w:p>
            <w:p>
              <w:pPr>
                <w:pStyle w:val="BodyText"/>
              </w:pPr>
              <w:pPr>
                <w:pStyle w:val="ListParagraph"/>
                <w:numPr>
                  <w:ilvl w:val="0"/>
                  <w:numId w:val="10"/>
                </w:numPr>
              </w:pPr>
              <w:r>
                <w:t xml:space="preserve">Comply with certain limited ASX listing rules, relating to transfers and registers of shares and certain procedural and administrative matters.</w:t>
              </w:r>
            </w:p>
            <w:p>
              <w:pPr>
                <w:pStyle w:val="BodyText"/>
              </w:pPr>
              <w:r>
                <w:t xml:space="preserve">In addition, every foreign company listed on the ASX must appoint at least one person to be responsible for communication with the ASX in relation to ASX listing rule matters.</w:t>
              </w:r>
            </w:p>
            <w:p>
              <w:pPr>
                <w:pStyle w:val="BodyText"/>
              </w:pPr>
              <w:r>
                <w:rPr>
                  <w:i/>
                </w:rPr>
                <w:t xml:space="preserve">Continuous disclosure</w:t>
              </w:r>
            </w:p>
            <w:p>
              <w:pPr>
                <w:pStyle w:val="BodyText"/>
              </w:pPr>
              <w:r>
                <w:t xml:space="preserve">Under the continuous disclosure requirements of the Corporations Act and ASX listing rules, once a company is or becomes aware of any information concerning it that a reasonable person would expect to have a material effect on the price or value of the company's shares, the company must immediately inform the ASX of that information. The requirement to immediately disclose material information should be satisfied if such information is provided to the ASX promptly and without delay. A reasonable person would be taken to expect information to have a material effect on the price or value of shares if the information would (or would be likely to) influence persons who commonly invest in shares in deciding whether or not to subscribe for, or buy or sell, the first mentioned shares.</w:t>
              </w:r>
            </w:p>
            <w:p>
              <w:pPr>
                <w:pStyle w:val="BodyText"/>
              </w:pPr>
              <w:r>
                <w:t xml:space="preserve">However, the continuous disclosure obligation does not apply in respect of certain information if:</w:t>
              </w:r>
            </w:p>
            <w:p>
              <w:pPr>
                <w:pStyle w:val="BodyText"/>
              </w:pPr>
              <w:pPr>
                <w:pStyle w:val="ListParagraph"/>
                <w:numPr>
                  <w:ilvl w:val="0"/>
                  <w:numId w:val="11"/>
                </w:numPr>
              </w:pPr>
              <w:r>
                <w:t xml:space="preserve">The information is confidential, and the ASX has not formed the view that the information has ceased to be confidential.</w:t>
              </w:r>
            </w:p>
            <w:p>
              <w:pPr>
                <w:pStyle w:val="BodyText"/>
              </w:pPr>
              <w:pPr>
                <w:pStyle w:val="ListParagraph"/>
                <w:numPr>
                  <w:ilvl w:val="0"/>
                  <w:numId w:val="11"/>
                </w:numPr>
              </w:pPr>
              <w:r>
                <w:t xml:space="preserve">One or more of the following applies:</w:t>
              </w:r>
            </w:p>
            <w:p>
              <w:pPr>
                <w:pStyle w:val="BodyText"/>
              </w:pPr>
              <w:pPr>
                <w:pStyle w:val="ListParagraph"/>
                <w:numPr>
                  <w:ilvl w:val="1"/>
                  <w:numId w:val="12"/>
                </w:numPr>
                <w:ind w:left="1560"/>
              </w:pPr>
              <w:r>
                <w:t xml:space="preserve">It would be a breach of a law to disclose the information.</w:t>
              </w:r>
            </w:p>
            <w:p>
              <w:pPr>
                <w:pStyle w:val="BodyText"/>
              </w:pPr>
              <w:pPr>
                <w:pStyle w:val="ListParagraph"/>
                <w:numPr>
                  <w:ilvl w:val="1"/>
                  <w:numId w:val="12"/>
                </w:numPr>
                <w:ind w:left="1560"/>
              </w:pPr>
              <w:r>
                <w:t xml:space="preserve">The information concerns an incomplete proposal or negotiation.</w:t>
              </w:r>
            </w:p>
            <w:p>
              <w:pPr>
                <w:pStyle w:val="BodyText"/>
              </w:pPr>
              <w:pPr>
                <w:pStyle w:val="ListParagraph"/>
                <w:numPr>
                  <w:ilvl w:val="1"/>
                  <w:numId w:val="12"/>
                </w:numPr>
                <w:ind w:left="1560"/>
              </w:pPr>
              <w:r>
                <w:t xml:space="preserve">The information comprises matters of supposition or is insufficiently definite to warrant disclosure.</w:t>
              </w:r>
            </w:p>
            <w:p>
              <w:pPr>
                <w:pStyle w:val="BodyText"/>
              </w:pPr>
              <w:pPr>
                <w:pStyle w:val="ListParagraph"/>
                <w:numPr>
                  <w:ilvl w:val="1"/>
                  <w:numId w:val="12"/>
                </w:numPr>
                <w:ind w:left="1560"/>
              </w:pPr>
              <w:r>
                <w:t xml:space="preserve">The information is generated for the internal management purposes of the company.</w:t>
              </w:r>
            </w:p>
            <w:p>
              <w:pPr>
                <w:pStyle w:val="BodyText"/>
              </w:pPr>
              <w:pPr>
                <w:pStyle w:val="ListParagraph"/>
                <w:numPr>
                  <w:ilvl w:val="1"/>
                  <w:numId w:val="12"/>
                </w:numPr>
                <w:ind w:left="1560"/>
              </w:pPr>
              <w:r>
                <w:t xml:space="preserve">The information is a trade secret.</w:t>
              </w:r>
            </w:p>
            <w:p>
              <w:pPr>
                <w:pStyle w:val="BodyText"/>
              </w:pPr>
              <w:pPr>
                <w:pStyle w:val="ListParagraph"/>
                <w:numPr>
                  <w:ilvl w:val="0"/>
                  <w:numId w:val="11"/>
                </w:numPr>
              </w:pPr>
              <w:r>
                <w:t xml:space="preserve">A reasonable person would not expect the information to be disclosed.</w:t>
              </w:r>
            </w:p>
            <w:p>
              <w:pPr>
                <w:pStyle w:val="BodyText"/>
              </w:pPr>
              <w:r>
                <w:t xml:space="preserve">Examples of the type of information that the ASX may require to be disclosed include:</w:t>
              </w:r>
            </w:p>
            <w:p>
              <w:pPr>
                <w:pStyle w:val="BodyText"/>
              </w:pPr>
              <w:pPr>
                <w:pStyle w:val="ListParagraph"/>
                <w:numPr>
                  <w:ilvl w:val="0"/>
                  <w:numId w:val="13"/>
                </w:numPr>
              </w:pPr>
              <w:r>
                <w:t xml:space="preserve">A change in the company's financial forecast or expectations.</w:t>
              </w:r>
            </w:p>
            <w:p>
              <w:pPr>
                <w:pStyle w:val="BodyText"/>
              </w:pPr>
              <w:pPr>
                <w:pStyle w:val="ListParagraph"/>
                <w:numPr>
                  <w:ilvl w:val="0"/>
                  <w:numId w:val="13"/>
                </w:numPr>
              </w:pPr>
              <w:r>
                <w:t xml:space="preserve">A transaction where the consideration payable or receivable exceeds 5% of the company's consolidated assets.</w:t>
              </w:r>
            </w:p>
            <w:p>
              <w:pPr>
                <w:pStyle w:val="BodyText"/>
              </w:pPr>
              <w:pPr>
                <w:pStyle w:val="ListParagraph"/>
                <w:numPr>
                  <w:ilvl w:val="0"/>
                  <w:numId w:val="13"/>
                </w:numPr>
              </w:pPr>
              <w:r>
                <w:t xml:space="preserve">The giving or receiving of notice of intention to make a takeover.</w:t>
              </w:r>
            </w:p>
            <w:p>
              <w:pPr>
                <w:pStyle w:val="BodyText"/>
              </w:pPr>
              <w:pPr>
                <w:pStyle w:val="ListParagraph"/>
                <w:numPr>
                  <w:ilvl w:val="0"/>
                  <w:numId w:val="13"/>
                </w:numPr>
              </w:pPr>
              <w:r>
                <w:t xml:space="preserve">A change in accounting policy or the credit rating of the company.</w:t>
              </w:r>
            </w:p>
            <w:p>
              <w:pPr>
                <w:pStyle w:val="BodyText"/>
              </w:pPr>
              <w:r>
                <w:t xml:space="preserve">In addition to the continuous disclosure regime, there are a number of other specific disclosure requirements that companies admitted as ASX Listings must comply with. These include:</w:t>
              </w:r>
            </w:p>
            <w:p>
              <w:pPr>
                <w:pStyle w:val="BodyText"/>
              </w:pPr>
              <w:pPr>
                <w:pStyle w:val="ListParagraph"/>
                <w:numPr>
                  <w:ilvl w:val="0"/>
                  <w:numId w:val="14"/>
                </w:numPr>
              </w:pPr>
              <w:r>
                <w:t xml:space="preserve">Immediately informing the ASX of the details of:</w:t>
              </w:r>
            </w:p>
            <w:p>
              <w:pPr>
                <w:pStyle w:val="BodyText"/>
              </w:pPr>
              <w:pPr>
                <w:pStyle w:val="ListParagraph"/>
                <w:numPr>
                  <w:ilvl w:val="1"/>
                  <w:numId w:val="15"/>
                </w:numPr>
                <w:ind w:left="1560"/>
              </w:pPr>
              <w:r>
                <w:t xml:space="preserve">Any reorganization of its capital.</w:t>
              </w:r>
            </w:p>
            <w:p>
              <w:pPr>
                <w:pStyle w:val="BodyText"/>
              </w:pPr>
              <w:pPr>
                <w:pStyle w:val="ListParagraph"/>
                <w:numPr>
                  <w:ilvl w:val="1"/>
                  <w:numId w:val="15"/>
                </w:numPr>
                <w:ind w:left="1560"/>
              </w:pPr>
              <w:r>
                <w:t xml:space="preserve">The issuance of shares.</w:t>
              </w:r>
            </w:p>
            <w:p>
              <w:pPr>
                <w:pStyle w:val="BodyText"/>
              </w:pPr>
              <w:pPr>
                <w:pStyle w:val="ListParagraph"/>
                <w:numPr>
                  <w:ilvl w:val="1"/>
                  <w:numId w:val="15"/>
                </w:numPr>
                <w:ind w:left="1560"/>
              </w:pPr>
              <w:r>
                <w:t xml:space="preserve">The lodging of any prospectus or other disclosure document.</w:t>
              </w:r>
            </w:p>
            <w:p>
              <w:pPr>
                <w:pStyle w:val="BodyText"/>
              </w:pPr>
              <w:pPr>
                <w:pStyle w:val="ListParagraph"/>
                <w:numPr>
                  <w:ilvl w:val="1"/>
                  <w:numId w:val="15"/>
                </w:numPr>
                <w:ind w:left="1560"/>
              </w:pPr>
              <w:r>
                <w:t xml:space="preserve">The establishment or amendment of a dividend or distribution plan.</w:t>
              </w:r>
            </w:p>
            <w:p>
              <w:pPr>
                <w:pStyle w:val="BodyText"/>
              </w:pPr>
              <w:pPr>
                <w:pStyle w:val="ListParagraph"/>
                <w:numPr>
                  <w:ilvl w:val="0"/>
                  <w:numId w:val="14"/>
                </w:numPr>
              </w:pPr>
              <w:r>
                <w:t xml:space="preserve">Informing the ASX, in the time periods specified in the ASX listing rules, of a number of other specific events, including:</w:t>
              </w:r>
            </w:p>
            <w:p>
              <w:pPr>
                <w:pStyle w:val="BodyText"/>
              </w:pPr>
              <w:pPr>
                <w:pStyle w:val="ListParagraph"/>
                <w:numPr>
                  <w:ilvl w:val="1"/>
                  <w:numId w:val="16"/>
                </w:numPr>
                <w:ind w:left="1560"/>
              </w:pPr>
              <w:r>
                <w:t xml:space="preserve">The forthcoming release of restricted shares and shares subject to voluntary escrow.</w:t>
              </w:r>
            </w:p>
            <w:p>
              <w:pPr>
                <w:pStyle w:val="BodyText"/>
              </w:pPr>
              <w:pPr>
                <w:pStyle w:val="ListParagraph"/>
                <w:numPr>
                  <w:ilvl w:val="1"/>
                  <w:numId w:val="16"/>
                </w:numPr>
                <w:ind w:left="1560"/>
              </w:pPr>
              <w:r>
                <w:t xml:space="preserve">A change of chairperson, director, chief executive officer (or equivalent), chief financial officer (or equivalent), company secretary or auditor.</w:t>
              </w:r>
            </w:p>
            <w:p>
              <w:pPr>
                <w:pStyle w:val="BodyText"/>
              </w:pPr>
              <w:pPr>
                <w:pStyle w:val="ListParagraph"/>
                <w:numPr>
                  <w:ilvl w:val="1"/>
                  <w:numId w:val="16"/>
                </w:numPr>
                <w:ind w:left="1560"/>
              </w:pPr>
              <w:r>
                <w:t xml:space="preserve">The outcome in respect of each resolution put to a meeting of shareholders.</w:t>
              </w:r>
            </w:p>
            <w:p>
              <w:pPr>
                <w:pStyle w:val="BodyText"/>
              </w:pPr>
              <w:pPr>
                <w:pStyle w:val="ListParagraph"/>
                <w:numPr>
                  <w:ilvl w:val="1"/>
                  <w:numId w:val="16"/>
                </w:numPr>
                <w:ind w:left="1560"/>
              </w:pPr>
              <w:r>
                <w:t xml:space="preserve">The interests of a director of the company on the date the company is admitted to the official list and on the date the director is appointed, in addition to any changes to a director's interests and the date that a director ceases to be a director of the company.</w:t>
              </w:r>
            </w:p>
            <w:p>
              <w:pPr>
                <w:pStyle w:val="BodyText"/>
              </w:pPr>
              <w:r>
                <w:t xml:space="preserve">The continuous disclosure obligation requires a foreign company that is already listed on an overseas exchange to give the ASX in English all material information that it gives to an overseas stock exchange or other regulator and that is available to the public. This would include, for example, quarterly reports that could contain material information.</w:t>
              </w:r>
            </w:p>
            <w:p>
              <w:pPr>
                <w:pStyle w:val="BodyText"/>
              </w:pPr>
              <w:r>
                <w:rPr>
                  <w:i/>
                </w:rPr>
                <w:t xml:space="preserve">Financial statements</w:t>
              </w:r>
            </w:p>
            <w:p>
              <w:pPr>
                <w:pStyle w:val="BodyText"/>
              </w:pPr>
              <w:r>
                <w:t xml:space="preserve">A foreign company admitted as an ASX Listing must issue periodic financial reports. In summary, such a company must provide:</w:t>
              </w:r>
            </w:p>
            <w:p>
              <w:pPr>
                <w:pStyle w:val="BodyText"/>
              </w:pPr>
              <w:pPr>
                <w:pStyle w:val="ListParagraph"/>
                <w:numPr>
                  <w:ilvl w:val="0"/>
                  <w:numId w:val="17"/>
                </w:numPr>
              </w:pPr>
              <w:r>
                <w:t xml:space="preserve">Statutory accounts and financial report for the half year (or equivalent if the foreign jurisdiction does not require a half-year report) as soon as they are available, and no later than two months from the end of the relevant period, provided at the same time as provided to ASIC or the relevant overseas corporate regulator.</w:t>
              </w:r>
            </w:p>
            <w:p>
              <w:pPr>
                <w:pStyle w:val="BodyText"/>
              </w:pPr>
              <w:pPr>
                <w:pStyle w:val="ListParagraph"/>
                <w:numPr>
                  <w:ilvl w:val="0"/>
                  <w:numId w:val="17"/>
                </w:numPr>
              </w:pPr>
              <w:r>
                <w:t xml:space="preserve">A preliminary final annual report, as soon as available and no later than two months from the end of the relevant period.</w:t>
              </w:r>
            </w:p>
            <w:p>
              <w:pPr>
                <w:pStyle w:val="BodyText"/>
              </w:pPr>
              <w:pPr>
                <w:pStyle w:val="ListParagraph"/>
                <w:numPr>
                  <w:ilvl w:val="0"/>
                  <w:numId w:val="17"/>
                </w:numPr>
              </w:pPr>
              <w:r>
                <w:t xml:space="preserve">Statutory accounts for the full year lodged with ASIC or the relevant overseas corporate regulator, at the same time as provided to ASIC or the relevant overseas corporate regulator.</w:t>
              </w:r>
            </w:p>
            <w:p>
              <w:pPr>
                <w:pStyle w:val="BodyText"/>
              </w:pPr>
              <w:r>
                <w:t xml:space="preserve">The half-year report and the annual accounts report must be audited (or reviewed, in the case of the half yearly report) by the company's auditor.</w:t>
              </w:r>
            </w:p>
            <w:p>
              <w:pPr>
                <w:pStyle w:val="BodyText"/>
              </w:pPr>
              <w:r>
                <w:t xml:space="preserve">There are additional ongoing reporting requirements for a mining company, including the provision of quarterly reports on its mining activities immediately as it is available for release (for example, when it has been properly compiled, verified and approved) and in any event within one month after the quarter end. A company that is admitted under the assets test on the basis of commitments to spend funds will generally be required to provide quarterly cash flow reports, within one month of the quarter end, for at least the first two years after listing. These quarterly accounts do not need to be audited or reviewed.</w:t>
              </w:r>
            </w:p>
            <w:p>
              <w:pPr>
                <w:pStyle w:val="BodyText"/>
              </w:pPr>
              <w:r>
                <w:rPr>
                  <w:i/>
                </w:rPr>
                <w:t xml:space="preserve">Additional information to be provided</w:t>
              </w:r>
            </w:p>
            <w:p>
              <w:pPr>
                <w:pStyle w:val="BodyText"/>
              </w:pPr>
              <w:r>
                <w:t xml:space="preserve">A foreign company with an ASX Listing is required to include in each annual report:</w:t>
              </w:r>
            </w:p>
            <w:p>
              <w:pPr>
                <w:pStyle w:val="BodyText"/>
              </w:pPr>
              <w:pPr>
                <w:pStyle w:val="ListParagraph"/>
                <w:numPr>
                  <w:ilvl w:val="0"/>
                  <w:numId w:val="18"/>
                </w:numPr>
              </w:pPr>
              <w:r>
                <w:t xml:space="preserve">A prominent statement about its place of incorporation or registration.</w:t>
              </w:r>
            </w:p>
            <w:p>
              <w:pPr>
                <w:pStyle w:val="BodyText"/>
              </w:pPr>
              <w:pPr>
                <w:pStyle w:val="ListParagraph"/>
                <w:numPr>
                  <w:ilvl w:val="0"/>
                  <w:numId w:val="18"/>
                </w:numPr>
              </w:pPr>
              <w:r>
                <w:t xml:space="preserve">A statement that it is not subject to Chapters 6, 6A, 6B and 6C of the Corporations Act 2001 dealing with the acquisition of shares (i.e., substantial holdings and takeovers).</w:t>
              </w:r>
            </w:p>
            <w:p>
              <w:pPr>
                <w:pStyle w:val="BodyText"/>
              </w:pPr>
              <w:pPr>
                <w:pStyle w:val="ListParagraph"/>
                <w:numPr>
                  <w:ilvl w:val="0"/>
                  <w:numId w:val="18"/>
                </w:numPr>
              </w:pPr>
              <w:r>
                <w:t xml:space="preserve">Any limitations on the acquisition of shares imposed by the jurisdiction in which it is incorporated or registered.</w:t>
              </w:r>
            </w:p>
            <w:p>
              <w:pPr>
                <w:pStyle w:val="BodyText"/>
              </w:pPr>
              <w:r>
                <w:t xml:space="preserve">The ASX generally requires a foreign company with an ASX Listing to undertake to give information about ownership of its shares to the ASX for release to the market. The usual undertakings are to:</w:t>
              </w:r>
            </w:p>
            <w:p>
              <w:pPr>
                <w:pStyle w:val="BodyText"/>
              </w:pPr>
              <w:pPr>
                <w:pStyle w:val="ListParagraph"/>
                <w:numPr>
                  <w:ilvl w:val="0"/>
                  <w:numId w:val="19"/>
                </w:numPr>
              </w:pPr>
              <w:r>
                <w:t xml:space="preserve">Inform the ASX as soon as the company is aware of a person becoming a substantial holder (within the meaning of the Corporations Act 2001), being a person who acquires a relevant interest in 5% or more of the company's shares.</w:t>
              </w:r>
            </w:p>
            <w:p>
              <w:pPr>
                <w:pStyle w:val="BodyText"/>
              </w:pPr>
              <w:pPr>
                <w:pStyle w:val="ListParagraph"/>
                <w:numPr>
                  <w:ilvl w:val="0"/>
                  <w:numId w:val="19"/>
                </w:numPr>
              </w:pPr>
              <w:r>
                <w:t xml:space="preserve">Disclose any details of the substantial holding.</w:t>
              </w:r>
            </w:p>
            <w:p>
              <w:pPr>
                <w:pStyle w:val="BodyText"/>
              </w:pPr>
              <w:pPr>
                <w:pStyle w:val="ListParagraph"/>
                <w:numPr>
                  <w:ilvl w:val="0"/>
                  <w:numId w:val="19"/>
                </w:numPr>
              </w:pPr>
              <w:r>
                <w:t xml:space="preserve">Inform the market of subsequent changes in the substantial holdings of which the company becomes aware.</w:t>
              </w:r>
            </w:p>
            <w:p>
              <w:pPr>
                <w:pStyle w:val="BodyText"/>
              </w:pPr>
              <w:r>
                <w:rPr>
                  <w:i/>
                </w:rPr>
                <w:t xml:space="preserve">Other ASX requirements</w:t>
              </w:r>
            </w:p>
            <w:p>
              <w:pPr>
                <w:pStyle w:val="BodyText"/>
              </w:pPr>
              <w:r>
                <w:t xml:space="preserve">There also are a number of other ongoing requirements for ASX Listed companies. These include the requirement to obtain shareholder approval in certain circumstances, such as for:</w:t>
              </w:r>
            </w:p>
            <w:p>
              <w:pPr>
                <w:pStyle w:val="BodyText"/>
              </w:pPr>
              <w:pPr>
                <w:pStyle w:val="ListParagraph"/>
                <w:numPr>
                  <w:ilvl w:val="0"/>
                  <w:numId w:val="20"/>
                </w:numPr>
              </w:pPr>
              <w:r>
                <w:t xml:space="preserve">The issuance of shares (or other securities convertible to shares) that would exceed 15% of the company's issued shares, or any issue of shares to directors, other than on a pro-rata basis or unless otherwise exempted. For companies that have a market capitalization of A$300 million (approximately US$204.36 million) or less and that are not included in the S&amp;P/ASX 300 Index, this threshold can be increased by a further 10% for issues of shares for cash consideration to enable total issues of up to 25%, if annual shareholder approval is obtained at the company's AGM for that additional 10% capacity.</w:t>
              </w:r>
            </w:p>
            <w:p>
              <w:pPr>
                <w:pStyle w:val="BodyText"/>
              </w:pPr>
              <w:pPr>
                <w:pStyle w:val="ListParagraph"/>
                <w:numPr>
                  <w:ilvl w:val="0"/>
                  <w:numId w:val="20"/>
                </w:numPr>
              </w:pPr>
              <w:r>
                <w:t xml:space="preserve">The acquisition from, or disposal to, a director or other related party of a material asset.</w:t>
              </w:r>
            </w:p>
            <w:p>
              <w:pPr>
                <w:pStyle w:val="BodyText"/>
              </w:pPr>
              <w:pPr>
                <w:pStyle w:val="ListParagraph"/>
                <w:numPr>
                  <w:ilvl w:val="0"/>
                  <w:numId w:val="20"/>
                </w:numPr>
              </w:pPr>
              <w:r>
                <w:t xml:space="preserve">Disposal of the company's main undertaking.</w:t>
              </w:r>
            </w:p>
            <w:p>
              <w:pPr>
                <w:pStyle w:val="BodyText"/>
              </w:pPr>
              <w:r>
                <w:rPr>
                  <w:i/>
                </w:rPr>
                <w:t xml:space="preserve">Insider trading</w:t>
              </w:r>
            </w:p>
            <w:p>
              <w:pPr>
                <w:pStyle w:val="BodyText"/>
              </w:pPr>
              <w:r>
                <w:t xml:space="preserve">The Corporations Act 2001 regulates insider trading of what are known as "Division 3 financial products." These include shares, derivatives, managed investment products, superannuation products (unless excluded by regulation) and any other financial products that can be traded on a financial market. For an offence to be committed:</w:t>
              </w:r>
            </w:p>
            <w:p>
              <w:pPr>
                <w:pStyle w:val="BodyText"/>
              </w:pPr>
              <w:pPr>
                <w:pStyle w:val="ListParagraph"/>
                <w:numPr>
                  <w:ilvl w:val="0"/>
                  <w:numId w:val="21"/>
                </w:numPr>
              </w:pPr>
              <w:r>
                <w:t xml:space="preserve">A person (the Insider) must possess "inside information".</w:t>
              </w:r>
            </w:p>
            <w:p>
              <w:pPr>
                <w:pStyle w:val="BodyText"/>
              </w:pPr>
              <w:pPr>
                <w:pStyle w:val="ListParagraph"/>
                <w:numPr>
                  <w:ilvl w:val="0"/>
                  <w:numId w:val="21"/>
                </w:numPr>
              </w:pPr>
              <w:r>
                <w:t xml:space="preserve">The Insider must know, or ought reasonably to know, that the relevant information is not generally available.</w:t>
              </w:r>
            </w:p>
            <w:p>
              <w:pPr>
                <w:pStyle w:val="BodyText"/>
              </w:pPr>
              <w:pPr>
                <w:pStyle w:val="ListParagraph"/>
                <w:numPr>
                  <w:ilvl w:val="0"/>
                  <w:numId w:val="21"/>
                </w:numPr>
              </w:pPr>
              <w:r>
                <w:t xml:space="preserve">The Insider:</w:t>
              </w:r>
            </w:p>
            <w:p>
              <w:pPr>
                <w:pStyle w:val="BodyText"/>
              </w:pPr>
              <w:pPr>
                <w:pStyle w:val="ListParagraph"/>
                <w:numPr>
                  <w:ilvl w:val="1"/>
                  <w:numId w:val="22"/>
                </w:numPr>
                <w:ind w:left="1560"/>
              </w:pPr>
              <w:r>
                <w:t xml:space="preserve">Must (or must enter into an agreement to) apply for, acquire or dispose of the relevant financial products.</w:t>
              </w:r>
            </w:p>
            <w:p>
              <w:pPr>
                <w:pStyle w:val="BodyText"/>
              </w:pPr>
              <w:pPr>
                <w:pStyle w:val="ListParagraph"/>
                <w:numPr>
                  <w:ilvl w:val="1"/>
                  <w:numId w:val="22"/>
                </w:numPr>
                <w:ind w:left="1560"/>
              </w:pPr>
              <w:r>
                <w:t xml:space="preserve">Must procure another person to do so.</w:t>
              </w:r>
            </w:p>
            <w:p>
              <w:pPr>
                <w:pStyle w:val="BodyText"/>
              </w:pPr>
              <w:pPr>
                <w:pStyle w:val="ListParagraph"/>
                <w:numPr>
                  <w:ilvl w:val="1"/>
                  <w:numId w:val="22"/>
                </w:numPr>
                <w:ind w:left="1560"/>
              </w:pPr>
              <w:r>
                <w:t xml:space="preserve">Must communicate the information to someone that the insider knows, or ought reasonably to know, would likely apply for, acquire or dispose of the relevant financial products or "tip" another person to trade in the financial products.</w:t>
              </w:r>
            </w:p>
            <w:p>
              <w:pPr>
                <w:pStyle w:val="BodyText"/>
              </w:pPr>
              <w:r>
                <w:t xml:space="preserve">"Inside information" is defined to mean that the information is not generally available, and (were it to be generally available) it would, or would be likely to, influence persons who commonly acquire financial products in deciding whether to acquire or dispose of the relevant financial products.</w:t>
              </w:r>
            </w:p>
            <w:p>
              <w:pPr>
                <w:pStyle w:val="BodyText"/>
              </w:pPr>
              <w:r>
                <w:t xml:space="preserve">Additionally, the insider trading laws provide that a company will be deemed to possess information that an officer of the company possesses and that came into their possession in the course of the officer's performance of duties as an officer, or that the officer of the company ought to reasonably know because they are an officer. An officer of the company is a director or secretary of the company and any other person who participates in making decisions that affect the whole or a substantial part of the business of the company or who has the capacity to affect significantly the company's financial standing.</w:t>
              </w:r>
            </w:p>
            <w:p>
              <w:pPr>
                <w:pStyle w:val="BodyText"/>
              </w:pPr>
              <w:r>
                <w:t xml:space="preserve">A breach of these prohibitions carries both criminal and civil consequences, both for those directly involved and for persons who aid or abet any such activity.</w:t>
              </w:r>
            </w:p>
            <w:p>
              <w:pPr>
                <w:pStyle w:val="BodyText"/>
              </w:pPr>
              <w:r>
                <w:t xml:space="preserve">There are various exceptions to the prohibitions, and also certain defenses to criminal or civil prosecutions.</w:t>
              </w:r>
            </w:p>
            <w:p>
              <w:pPr>
                <w:pStyle w:val="BodyText"/>
              </w:pPr>
              <w:r>
                <w:t xml:space="preserve">A company will not contravene the insider trading laws merely because it is aware of its own intention to enter into (or because it proposes to enter into) a transaction or agreement in relation to a financial product issued by another.</w:t>
              </w:r>
            </w:p>
            <w:p>
              <w:pPr>
                <w:pStyle w:val="BodyText"/>
              </w:pPr>
              <w:r>
                <w:t xml:space="preserve">The requirements described in this section 4 do not vary from what would be expected of a domestic company.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