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Australian Securities Exchange</w:t>
      </w:r>
      <w:r w:rsidR="00480329"/>
    </w:p>
    <w:p w:rsidRPr="00BC7873" w:rsidR="00BC7873" w:rsidP="00D354EF" w:rsidRDefault="00051AB4" w14:paraId="2476CC56" w14:textId="2FB25FA9">
      <w:pPr>
        <w:pStyle w:val="Title"/>
      </w:pPr>
      <w:r w:rsidRPr="00BC7873">
        <w:t>Listing documentation and process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documentation and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Overview</w:t>
              </w:r>
            </w:p>
            <w:p>
              <w:pPr>
                <w:pStyle w:val="BodyText"/>
              </w:pPr>
              <w:r>
                <w:t xml:space="preserve">For an ASX Foreign Exempt Company listing, the company is not required to provide a prospectus. To apply for admission to the official list as an ASX Foreign Exempt Listing, the company must:</w:t>
              </w:r>
            </w:p>
            <w:p>
              <w:pPr>
                <w:pStyle w:val="BodyText"/>
              </w:pPr>
              <w:pPr>
                <w:pStyle w:val="ListParagraph"/>
                <w:numPr>
                  <w:ilvl w:val="0"/>
                  <w:numId w:val="9"/>
                </w:numPr>
              </w:pPr>
              <w:r>
                <w:t xml:space="preserve">Submit the requisite listing application to the ASX.</w:t>
              </w:r>
            </w:p>
            <w:p>
              <w:pPr>
                <w:pStyle w:val="BodyText"/>
              </w:pPr>
              <w:pPr>
                <w:pStyle w:val="ListParagraph"/>
                <w:numPr>
                  <w:ilvl w:val="0"/>
                  <w:numId w:val="9"/>
                </w:numPr>
              </w:pPr>
              <w:r>
                <w:t xml:space="preserve">Give the ASX a copy of its last annual report and any subsequent interim report.</w:t>
              </w:r>
            </w:p>
            <w:p>
              <w:pPr>
                <w:pStyle w:val="BodyText"/>
              </w:pPr>
              <w:pPr>
                <w:pStyle w:val="ListParagraph"/>
                <w:numPr>
                  <w:ilvl w:val="0"/>
                  <w:numId w:val="9"/>
                </w:numPr>
              </w:pPr>
              <w:r>
                <w:t xml:space="preserve">Agree to give the ASX, after admission, additional copies of certain documents specified in the listing rules or otherwise required by the ASX.</w:t>
              </w:r>
            </w:p>
            <w:p>
              <w:pPr>
                <w:pStyle w:val="BodyText"/>
              </w:pPr>
              <w:r>
                <w:t xml:space="preserve">For an ASX Listing, the applicant company must issue a prospectus and lodge that document with ASIC and give a copy to the ASX. Usually, this is done in the context of an IPO, whereby the company raises necessary funds and obtains the necessary shareholder spread. The prospectus provides investors with detailed information about the company's business, its directors and management, financial position and performance, prospects, details of the industry in which it operates and risks, so that investors can make an informed investment decision.</w:t>
              </w:r>
            </w:p>
            <w:p>
              <w:pPr>
                <w:pStyle w:val="BodyText"/>
              </w:pPr>
              <w:r>
                <w:t xml:space="preserve">The ASX may accept an information memorandum instead of a prospectus for a compliance listing, if a company has no intention to raise capital in the next three months. However, the content requirements for an information memorandum and prospectus are broadly similar.</w:t>
              </w:r>
            </w:p>
            <w:p>
              <w:pPr>
                <w:pStyle w:val="BodyText"/>
              </w:pPr>
              <w:r>
                <w:t xml:space="preserve">A company must also complete a listing application and submit it to the ASX within seven days after the date of the prospectus. The ASX reserves the discretion whether or not to admit the company to the official list and may admit the company on any conditions it thinks appropriate. The applicant must also pay the prescribed listing fees, which are calculated on the basis of the value of the shares for which quotation is sought (see section 8 below).</w:t>
              </w:r>
            </w:p>
            <w:p>
              <w:pPr>
                <w:pStyle w:val="BodyText"/>
              </w:pPr>
              <w:r>
                <w:t xml:space="preserve">There is no requirement for a foreign company to conduct interviews with the ASX as part of the listing process. However, it is recommended that a company and its advisers liaise with the ASX in relation to its listing application, to ensure that the ASX's requirements can be met by the time that the company's formal application is considered by the ASX Listings Committee. The ASX makes its decision to list a company based on the listing application and other documents lodged with that application, as described further below.</w:t>
              </w:r>
            </w:p>
            <w:p>
              <w:pPr>
                <w:pStyle w:val="BodyText"/>
              </w:pPr>
              <w:r>
                <w:rPr>
                  <w:i/>
                </w:rPr>
                <w:t xml:space="preserve">Prospectus</w:t>
              </w:r>
            </w:p>
            <w:p>
              <w:pPr>
                <w:pStyle w:val="BodyText"/>
              </w:pPr>
              <w:r>
                <w:t xml:space="preserve">ASIC does not have a formal checklist approach to the contents of a prospectus. Instead, a prospectus must contain all information that investors and their professional advisers would reasonably require for the purpose of making an informed assessment of:</w:t>
              </w:r>
            </w:p>
            <w:p>
              <w:pPr>
                <w:pStyle w:val="BodyText"/>
              </w:pPr>
              <w:pPr>
                <w:pStyle w:val="ListParagraph"/>
                <w:numPr>
                  <w:ilvl w:val="0"/>
                  <w:numId w:val="10"/>
                </w:numPr>
              </w:pPr>
              <w:r>
                <w:t xml:space="preserve">The rights and liabilities attaching to the shares being offered.</w:t>
              </w:r>
            </w:p>
            <w:p>
              <w:pPr>
                <w:pStyle w:val="BodyText"/>
              </w:pPr>
              <w:pPr>
                <w:pStyle w:val="ListParagraph"/>
                <w:numPr>
                  <w:ilvl w:val="0"/>
                  <w:numId w:val="10"/>
                </w:numPr>
              </w:pPr>
              <w:r>
                <w:t xml:space="preserve">The assets and liabilities, financial position and performance, profits and losses, and prospects of the company.</w:t>
              </w:r>
            </w:p>
            <w:p>
              <w:pPr>
                <w:pStyle w:val="BodyText"/>
              </w:pPr>
              <w:r>
                <w:t xml:space="preserve">A prospectus must also specifically disclose:</w:t>
              </w:r>
            </w:p>
            <w:p>
              <w:pPr>
                <w:pStyle w:val="BodyText"/>
              </w:pPr>
              <w:pPr>
                <w:pStyle w:val="ListParagraph"/>
                <w:numPr>
                  <w:ilvl w:val="0"/>
                  <w:numId w:val="11"/>
                </w:numPr>
              </w:pPr>
              <w:r>
                <w:t xml:space="preserve">The terms and conditions and expiry date of the offer.</w:t>
              </w:r>
            </w:p>
            <w:p>
              <w:pPr>
                <w:pStyle w:val="BodyText"/>
              </w:pPr>
              <w:pPr>
                <w:pStyle w:val="ListParagraph"/>
                <w:numPr>
                  <w:ilvl w:val="0"/>
                  <w:numId w:val="11"/>
                </w:numPr>
              </w:pPr>
              <w:r>
                <w:t xml:space="preserve">The nature and extent of interests held by, and benefits given to, for example, directors, advisers, promoters and underwriters.</w:t>
              </w:r>
            </w:p>
            <w:p>
              <w:pPr>
                <w:pStyle w:val="BodyText"/>
              </w:pPr>
              <w:pPr>
                <w:pStyle w:val="ListParagraph"/>
                <w:numPr>
                  <w:ilvl w:val="0"/>
                  <w:numId w:val="11"/>
                </w:numPr>
              </w:pPr>
              <w:r>
                <w:t xml:space="preserve">Information on the quotation of the shares.</w:t>
              </w:r>
            </w:p>
            <w:p>
              <w:pPr>
                <w:pStyle w:val="BodyText"/>
              </w:pPr>
              <w:pPr>
                <w:pStyle w:val="ListParagraph"/>
                <w:numPr>
                  <w:ilvl w:val="0"/>
                  <w:numId w:val="11"/>
                </w:numPr>
              </w:pPr>
              <w:r>
                <w:t xml:space="preserve">The fact that the prospectus has been lodged with ASIC.</w:t>
              </w:r>
            </w:p>
            <w:p>
              <w:pPr>
                <w:pStyle w:val="BodyText"/>
              </w:pPr>
              <w:r>
                <w:t xml:space="preserve">The prospectus must also be presented in a clear, concise and effective manner. ASIC Regulatory Guide 228 (RG 228) sets out the form and content requirements that issuers and their advisers should take into account in order to provide effective prospectus disclosure for Australian retail investors. Although that guide is not intended to be a checklist, given the extensive detail it contains, the guide is usually closely followed to minimize regulatory risk involving ASIC.</w:t>
              </w:r>
            </w:p>
            <w:p>
              <w:pPr>
                <w:pStyle w:val="BodyText"/>
              </w:pPr>
              <w:r>
                <w:t xml:space="preserve">A prospectus may also incorporate by reference information that is contained in a document already lodged with ASIC.</w:t>
              </w:r>
            </w:p>
            <w:p>
              <w:pPr>
                <w:pStyle w:val="BodyText"/>
              </w:pPr>
              <w:r>
                <w:t xml:space="preserve">The prospectus will include historical financial information and typically an investigating accountant's report. This report will generally include a review of the company's historical financial information, together with its financial statements. For issuers with an operating history, RG 228 states that a prospectus should generally include:</w:t>
              </w:r>
            </w:p>
            <w:p>
              <w:pPr>
                <w:pStyle w:val="BodyText"/>
              </w:pPr>
              <w:pPr>
                <w:pStyle w:val="ListParagraph"/>
                <w:numPr>
                  <w:ilvl w:val="0"/>
                  <w:numId w:val="12"/>
                </w:numPr>
              </w:pPr>
              <w:r>
                <w:t xml:space="preserve">A consolidated audited statement of financial position for the most recent financial year (or audited or reviewed half year depending on the date of the prospectus), showing the major asset, liability and equity groups and a corresponding pro forma statement of financial position showing the effect of the IPO.</w:t>
              </w:r>
            </w:p>
            <w:p>
              <w:pPr>
                <w:pStyle w:val="BodyText"/>
              </w:pPr>
              <w:pPr>
                <w:pStyle w:val="ListParagraph"/>
                <w:numPr>
                  <w:ilvl w:val="0"/>
                  <w:numId w:val="12"/>
                </w:numPr>
              </w:pPr>
              <w:r>
                <w:t xml:space="preserve">The following audited financial information for at least the three most recent financial years for companies seeking listing under the profit test (or two most recent financial years (subject to limited exceptions) for companies seeking listing under the assets test):</w:t>
              </w:r>
            </w:p>
            <w:p>
              <w:pPr>
                <w:pStyle w:val="BodyText"/>
              </w:pPr>
              <w:pPr>
                <w:pStyle w:val="ListParagraph"/>
                <w:numPr>
                  <w:ilvl w:val="1"/>
                  <w:numId w:val="13"/>
                </w:numPr>
                <w:ind w:left="1560"/>
              </w:pPr>
              <w:r>
                <w:t xml:space="preserve">A consolidated income statement showing major revenues and expense items, and profit or loss, including earnings before interest and taxes and net profit after tax.</w:t>
              </w:r>
            </w:p>
            <w:p>
              <w:pPr>
                <w:pStyle w:val="BodyText"/>
              </w:pPr>
              <w:pPr>
                <w:pStyle w:val="ListParagraph"/>
                <w:numPr>
                  <w:ilvl w:val="1"/>
                  <w:numId w:val="13"/>
                </w:numPr>
                <w:ind w:left="1560"/>
              </w:pPr>
              <w:r>
                <w:t xml:space="preserve">Other information that is material from the notes to those financial statements.</w:t>
              </w:r>
            </w:p>
            <w:p>
              <w:pPr>
                <w:pStyle w:val="BodyText"/>
              </w:pPr>
              <w:pPr>
                <w:pStyle w:val="ListParagraph"/>
                <w:numPr>
                  <w:ilvl w:val="1"/>
                  <w:numId w:val="13"/>
                </w:numPr>
                <w:ind w:left="1560"/>
              </w:pPr>
              <w:r>
                <w:t xml:space="preserve">Any modified opinion by the auditor.</w:t>
              </w:r>
            </w:p>
            <w:p>
              <w:pPr>
                <w:pStyle w:val="BodyText"/>
              </w:pPr>
              <w:pPr>
                <w:pStyle w:val="ListParagraph"/>
                <w:numPr>
                  <w:ilvl w:val="0"/>
                  <w:numId w:val="12"/>
                </w:numPr>
              </w:pPr>
              <w:r>
                <w:t xml:space="preserve">All events that have had a material effect on the company since the date of the most recent financial statements.</w:t>
              </w:r>
            </w:p>
            <w:p>
              <w:pPr>
                <w:pStyle w:val="BodyText"/>
              </w:pPr>
              <w:pPr>
                <w:pStyle w:val="ListParagraph"/>
                <w:numPr>
                  <w:ilvl w:val="0"/>
                  <w:numId w:val="12"/>
                </w:numPr>
              </w:pPr>
              <w:r>
                <w:t xml:space="preserve">A warning that past performance is not a guide to future performance.</w:t>
              </w:r>
            </w:p>
            <w:p>
              <w:pPr>
                <w:pStyle w:val="BodyText"/>
              </w:pPr>
              <w:r>
                <w:t xml:space="preserve">Often, a prospectus will also contain historical and forecast pro forma financial information to show the position and performance of the company, as if the business and structure of the company throughout the pro forma financial periods were the same as those of the company on completion of the IPO.</w:t>
              </w:r>
            </w:p>
            <w:p>
              <w:pPr>
                <w:pStyle w:val="BodyText"/>
              </w:pPr>
              <w:r>
                <w:t xml:space="preserve">If the issuer is a start up with no operating history, it should include its most recent statement of financial position and pro forma statement or financial information showing the effect of the IPO.</w:t>
              </w:r>
            </w:p>
            <w:p>
              <w:pPr>
                <w:pStyle w:val="BodyText"/>
              </w:pPr>
              <w:r>
                <w:t xml:space="preserve">A prospectus in Australia will often contain forecasts. ASIC's view is that a prospectus should only include prospective financial information if it is not misleading and there are objectively reasonable grounds for its inclusion. Under the Corporations Act 2001, if a prospectus contains a statement about a future matter and there are no reasonable grounds for making the statement, the statement is taken to be misleading. It is market practice for an investigating accountant to report on the forecast financial information and the assumptions underlying it, to demonstrate that the company has reasonable grounds for making the forecast. Start-ups or companies seeking to float with no track record should not include forecasts in their prospectuses.</w:t>
              </w:r>
            </w:p>
            <w:p>
              <w:pPr>
                <w:pStyle w:val="BodyText"/>
              </w:pPr>
              <w:r>
                <w:t xml:space="preserve">Depending on the nature of its business, it may be necessary for a company to retain an independent expert, such as a technical expert, to provide an overview of the technical aspects of the company's business operations for inclusion in the prospectus. Such an expert's report is often included by a company in the resources or technology sector, where the company's business is untested.</w:t>
              </w:r>
            </w:p>
            <w:p>
              <w:pPr>
                <w:pStyle w:val="BodyText"/>
              </w:pPr>
              <w:r>
                <w:t xml:space="preserve">In addition to meeting these general requirements, the ASX would expect the prospectus of a foreign company to include:</w:t>
              </w:r>
            </w:p>
            <w:p>
              <w:pPr>
                <w:pStyle w:val="BodyText"/>
              </w:pPr>
              <w:pPr>
                <w:pStyle w:val="ListParagraph"/>
                <w:numPr>
                  <w:ilvl w:val="0"/>
                  <w:numId w:val="14"/>
                </w:numPr>
              </w:pPr>
              <w:r>
                <w:t xml:space="preserve">A statement of its place of incorporation or registration.</w:t>
              </w:r>
            </w:p>
            <w:p>
              <w:pPr>
                <w:pStyle w:val="BodyText"/>
              </w:pPr>
              <w:pPr>
                <w:pStyle w:val="ListParagraph"/>
                <w:numPr>
                  <w:ilvl w:val="0"/>
                  <w:numId w:val="14"/>
                </w:numPr>
              </w:pPr>
              <w:r>
                <w:t xml:space="preserve">A statement to the effect that:</w:t>
              </w:r>
            </w:p>
            <w:p>
              <w:pPr>
                <w:pStyle w:val="BodyText"/>
              </w:pPr>
              <w:r>
                <w:t xml:space="preserve">"As [name of entity] is not established in Australia, its general corporate activities (apart from any offering of securities in Australia) are not regulated by the Corporations Act 2001 of the Commonwealth of Australia or by the Australian Securities and Investments Commission but instead are regulated by [insert name of governing legislation] and [insert name of corporate regulator administering that legislation]."</w:t>
              </w:r>
            </w:p>
            <w:p>
              <w:pPr>
                <w:pStyle w:val="BodyText"/>
              </w:pPr>
              <w:pPr>
                <w:pStyle w:val="ListParagraph"/>
                <w:numPr>
                  <w:ilvl w:val="0"/>
                  <w:numId w:val="15"/>
                </w:numPr>
              </w:pPr>
              <w:r>
                <w:t xml:space="preserve">A concise summary of the rights and obligations of shareholders under the laws of its home jurisdiction covering:</w:t>
              </w:r>
            </w:p>
            <w:p>
              <w:pPr>
                <w:pStyle w:val="BodyText"/>
              </w:pPr>
              <w:pPr>
                <w:pStyle w:val="ListParagraph"/>
                <w:numPr>
                  <w:ilvl w:val="1"/>
                  <w:numId w:val="16"/>
                </w:numPr>
                <w:ind w:left="1560"/>
              </w:pPr>
              <w:r>
                <w:t xml:space="preserve">What types of transactions require share approval.</w:t>
              </w:r>
            </w:p>
            <w:p>
              <w:pPr>
                <w:pStyle w:val="BodyText"/>
              </w:pPr>
              <w:pPr>
                <w:pStyle w:val="ListParagraph"/>
                <w:numPr>
                  <w:ilvl w:val="1"/>
                  <w:numId w:val="16"/>
                </w:numPr>
                <w:ind w:left="1560"/>
              </w:pPr>
              <w:r>
                <w:t xml:space="preserve">Whether shareholders have a right to request or requisition a meeting of shareholders.</w:t>
              </w:r>
            </w:p>
            <w:p>
              <w:pPr>
                <w:pStyle w:val="BodyText"/>
              </w:pPr>
              <w:pPr>
                <w:pStyle w:val="ListParagraph"/>
                <w:numPr>
                  <w:ilvl w:val="1"/>
                  <w:numId w:val="16"/>
                </w:numPr>
                <w:ind w:left="1560"/>
              </w:pPr>
              <w:r>
                <w:t xml:space="preserve">Whether shareholders have a right to appoint proxies to attend and vote at meetings on their behalf.</w:t>
              </w:r>
            </w:p>
            <w:p>
              <w:pPr>
                <w:pStyle w:val="BodyText"/>
              </w:pPr>
              <w:pPr>
                <w:pStyle w:val="ListParagraph"/>
                <w:numPr>
                  <w:ilvl w:val="1"/>
                  <w:numId w:val="16"/>
                </w:numPr>
                <w:ind w:left="1560"/>
              </w:pPr>
              <w:r>
                <w:t xml:space="preserve">How changes in the rights attaching to shares are regulated.</w:t>
              </w:r>
            </w:p>
            <w:p>
              <w:pPr>
                <w:pStyle w:val="BodyText"/>
              </w:pPr>
              <w:pPr>
                <w:pStyle w:val="ListParagraph"/>
                <w:numPr>
                  <w:ilvl w:val="1"/>
                  <w:numId w:val="16"/>
                </w:numPr>
                <w:ind w:left="1560"/>
              </w:pPr>
              <w:r>
                <w:t xml:space="preserve">What rights do shareholders have to seek relief for oppressive conduct.</w:t>
              </w:r>
            </w:p>
            <w:p>
              <w:pPr>
                <w:pStyle w:val="BodyText"/>
              </w:pPr>
              <w:pPr>
                <w:pStyle w:val="ListParagraph"/>
                <w:numPr>
                  <w:ilvl w:val="1"/>
                  <w:numId w:val="16"/>
                </w:numPr>
                <w:ind w:left="1560"/>
              </w:pPr>
              <w:r>
                <w:t xml:space="preserve">What rights do shareholders have to bring or intervene in legal proceedings on behalf of the company.</w:t>
              </w:r>
            </w:p>
            <w:p>
              <w:pPr>
                <w:pStyle w:val="BodyText"/>
              </w:pPr>
              <w:pPr>
                <w:pStyle w:val="ListParagraph"/>
                <w:numPr>
                  <w:ilvl w:val="0"/>
                  <w:numId w:val="15"/>
                </w:numPr>
              </w:pPr>
              <w:r>
                <w:t xml:space="preserve">A concise summary of how the disclosure of substantial holdings and takeovers are regulated under the law of its home jurisdiction.</w:t>
              </w:r>
            </w:p>
            <w:p>
              <w:pPr>
                <w:pStyle w:val="BodyText"/>
              </w:pPr>
              <w:pPr>
                <w:pStyle w:val="ListParagraph"/>
                <w:numPr>
                  <w:ilvl w:val="0"/>
                  <w:numId w:val="15"/>
                </w:numPr>
              </w:pPr>
              <w:r>
                <w:t xml:space="preserve">A summary of any taxes or duties payable in its place of incorporation, registration or establishment by an investor in relation to the acquisition, holding or disposal of securities in the company or, if there are no such taxes or duties, a statement to that effect.</w:t>
              </w:r>
            </w:p>
            <w:p>
              <w:pPr>
                <w:pStyle w:val="BodyText"/>
              </w:pPr>
              <w:r>
                <w:t xml:space="preserve">If the company, its directors or others involved in the preparation of the prospectus become aware, after the prospectus is lodged with ASIC, that there is a misleading statement in the prospectus, that the prospectus omitted material information or that there has been a change in circumstances rendering the prospectus misleading or incomplete, then the company must correct the defect by preparing and lodging with ASIC either a supplementary prospectus (which is an "addendum" to be distributed with the original document) or a replacement prospectus (which is a new prospectus that has been updated or corrected).</w:t>
              </w:r>
            </w:p>
            <w:p>
              <w:pPr>
                <w:pStyle w:val="BodyText"/>
              </w:pPr>
              <w:r>
                <w:t xml:space="preserve">In Australia, ASIC does not pre-vet, review or approve a prospectus before it is lodged, unlike many other jurisdictions. The prospectus must be lodged with ASIC and is subject to an "exposure period" of seven days, during which the company must make copies of the prospectus generally available to the public, preferably through a website. This gives the market and ASIC time to assess the prospectus. The company must not process any applications for shares during the exposure period.</w:t>
              </w:r>
            </w:p>
            <w:p>
              <w:pPr>
                <w:pStyle w:val="BodyText"/>
              </w:pPr>
              <w:r>
                <w:t xml:space="preserve">ASIC may extend the exposure period by up to seven days, particularly where it appears to ASIC that the prospectus may be defective.</w:t>
              </w:r>
            </w:p>
            <w:p>
              <w:pPr>
                <w:pStyle w:val="BodyText"/>
              </w:pPr>
              <w:r>
                <w:t xml:space="preserve">If ASIC's concerns cannot be satisfactorily resolved within the exposure period, ASIC may impose an interim stop order on the prospectus for up to 21 days. The company cannot offer, issue, sell or transfer shares under the prospectus whilst the order is in place. ASIC may lift the interim order if the company issues a supplementary or replacement prospectus that corrects any deficiencies. If not, ASIC may impose a final and permanent stop order on the prospectus.</w:t>
              </w:r>
            </w:p>
            <w:p>
              <w:pPr>
                <w:pStyle w:val="BodyText"/>
              </w:pPr>
              <w:r>
                <w:rPr>
                  <w:i/>
                </w:rPr>
                <w:t xml:space="preserve">Financial information</w:t>
              </w:r>
            </w:p>
            <w:p>
              <w:pPr>
                <w:pStyle w:val="BodyText"/>
              </w:pPr>
              <w:r>
                <w:t xml:space="preserve">A company applying for an ASX Listing under the profits test must provide each of the following:</w:t>
              </w:r>
            </w:p>
            <w:p>
              <w:pPr>
                <w:pStyle w:val="BodyText"/>
              </w:pPr>
              <w:pPr>
                <w:pStyle w:val="ListParagraph"/>
                <w:numPr>
                  <w:ilvl w:val="0"/>
                  <w:numId w:val="17"/>
                </w:numPr>
              </w:pPr>
              <w:r>
                <w:t xml:space="preserve">Audited accounts for the last three full financial years. If the company applies for admission less than 90 days after the end to its last financial year, unless the company has audited accounts for its latest full financial year, the accounts may be for the three years to the end of the previous financial year. The audit reports must be given to the ASX and must not be qualified in any way that goes to whether the company can continue as a going concern or has satisfied the profit levels required.</w:t>
              </w:r>
            </w:p>
            <w:p>
              <w:pPr>
                <w:pStyle w:val="BodyText"/>
              </w:pPr>
              <w:pPr>
                <w:pStyle w:val="ListParagraph"/>
                <w:numPr>
                  <w:ilvl w:val="0"/>
                  <w:numId w:val="17"/>
                </w:numPr>
              </w:pPr>
              <w:r>
                <w:t xml:space="preserve">If the last full financial year for which accounts must be given to the ASX ended more than six months and 75 days before the company applies for admission, audited or reviewed accounts for the last half year (or longer period if available) from the end of the last full financial year, together with the audit report or review.</w:t>
              </w:r>
            </w:p>
            <w:p>
              <w:pPr>
                <w:pStyle w:val="BodyText"/>
              </w:pPr>
              <w:r>
                <w:t xml:space="preserve">A company applying for an ASX Listing under the assets test must provide any accounts, together with any audit report or review:</w:t>
              </w:r>
            </w:p>
            <w:p>
              <w:pPr>
                <w:pStyle w:val="BodyText"/>
              </w:pPr>
              <w:pPr>
                <w:pStyle w:val="ListParagraph"/>
                <w:numPr>
                  <w:ilvl w:val="0"/>
                  <w:numId w:val="18"/>
                </w:numPr>
              </w:pPr>
              <w:r>
                <w:t xml:space="preserve">For the last two full financial years (or shorter period if the ASX agrees).</w:t>
              </w:r>
            </w:p>
            <w:p>
              <w:pPr>
                <w:pStyle w:val="BodyText"/>
              </w:pPr>
              <w:pPr>
                <w:pStyle w:val="ListParagraph"/>
                <w:numPr>
                  <w:ilvl w:val="0"/>
                  <w:numId w:val="18"/>
                </w:numPr>
              </w:pPr>
              <w:r>
                <w:t xml:space="preserve">If the last full financial year ended more than six months and 75 days before the company applied for admission, for the last half year (or longer period if available) from the end of the last full financial year. If the accounts have not been audited or reviewed, the company must inform the ASX.</w:t>
              </w:r>
            </w:p>
            <w:p>
              <w:pPr>
                <w:pStyle w:val="BodyText"/>
              </w:pPr>
              <w:r>
                <w:t xml:space="preserve">A company seeking an ASX Listing and applying under either the profits test or assets test must also provide a reviewed pro forma balance sheet, and for foreign companies a review conducted by an overseas equivalent of a registered company auditor or by an independent accountant.</w:t>
              </w:r>
            </w:p>
            <w:p>
              <w:pPr>
                <w:pStyle w:val="BodyText"/>
              </w:pPr>
              <w:r>
                <w:t xml:space="preserve">Financial information in the prospectus or otherwise given to the ASX must be in accordance with Australian Accounting Standards or other standards acceptable to the ASX. The ASX will accept International Financial Reporting Standards (IFRS) and the standards or GAAP applicable in Canada, Hong Kong, New Zealand, Singapore, South Africa, United Kingdom and United States of America.</w:t>
              </w:r>
            </w:p>
            <w:p>
              <w:pPr>
                <w:pStyle w:val="BodyText"/>
              </w:pPr>
              <w:r>
                <w:t xml:space="preserve">Where a company wishes to use accounting standards or GAAP not accepted by the ASX, it must attach a statement reconciling that financial information to the equivalent financial information prepared using either Australian Accounting Standards or IFRS.</w:t>
              </w:r>
            </w:p>
            <w:p>
              <w:pPr>
                <w:pStyle w:val="BodyText"/>
              </w:pPr>
              <w:r>
                <w:t xml:space="preserve">Similarly, the auditing standards used in auditing financial information provided to the ASX should be Australian auditing standards, International Standards on Auditing or other standards acceptable to the ASX, such as those applicable in Canada, Hong Kong, New Zealand, Singapore, South Africa, United Kingdom and United States of America.</w:t>
              </w:r>
            </w:p>
            <w:p>
              <w:pPr>
                <w:pStyle w:val="BodyText"/>
              </w:pPr>
              <w:r>
                <w:rPr>
                  <w:i/>
                </w:rPr>
                <w:t xml:space="preserve">Listing application</w:t>
              </w:r>
            </w:p>
            <w:p>
              <w:pPr>
                <w:pStyle w:val="BodyText"/>
              </w:pPr>
              <w:r>
                <w:t xml:space="preserve">Under the ASX Listing Rules, the ASX has absolute discretion on admission and quotation decisions.  This is particularly relevant to international companies from emerging economies. If there are any concerns about a company's suitability for admission, it can apply to ASX for in-principle advice on the appropriateness of the company's structure and operations before undertaking the effort and expense of lodging an application for admission.</w:t>
              </w:r>
            </w:p>
            <w:p>
              <w:pPr>
                <w:pStyle w:val="BodyText"/>
              </w:pPr>
              <w:r>
                <w:t xml:space="preserve">The company must submit a listing application to the ASX within seven days of lodging the prospectus with ASIC. The ASX will review the application and the prospectus to ensure compliance with the ASX listing rules. The ASX may seek additional information from the company, to ensure that sufficient information is available for investors to make informed decisions. Once the ASX has considered the listing application, the company will be advised in writing of the outcome. This will be in the form of resolutions containing:</w:t>
              </w:r>
            </w:p>
            <w:p>
              <w:pPr>
                <w:pStyle w:val="BodyText"/>
              </w:pPr>
              <w:pPr>
                <w:pStyle w:val="ListParagraph"/>
                <w:numPr>
                  <w:ilvl w:val="0"/>
                  <w:numId w:val="19"/>
                </w:numPr>
              </w:pPr>
              <w:r>
                <w:t xml:space="preserve">The conditions that must be satisfied before the company is admitted to the official list, such as closing the offer, raising the minimum subscription amount, allotting and issuing shares and having sufficient shareholder spread.</w:t>
              </w:r>
            </w:p>
            <w:p>
              <w:pPr>
                <w:pStyle w:val="BodyText"/>
              </w:pPr>
              <w:pPr>
                <w:pStyle w:val="ListParagraph"/>
                <w:numPr>
                  <w:ilvl w:val="0"/>
                  <w:numId w:val="19"/>
                </w:numPr>
              </w:pPr>
              <w:r>
                <w:t xml:space="preserve">The conditions that must be fulfilled before quotation can commence, such as the dispatch of holding statements, return of any refund money, the provision of a shareholder distribution schedule, a statement setting out the names of the top 20 shareholders and the provision of copies of restriction agreements for all escrowed shares.</w:t>
              </w:r>
            </w:p>
            <w:p>
              <w:pPr>
                <w:pStyle w:val="BodyText"/>
              </w:pPr>
              <w:r>
                <w:rPr>
                  <w:i/>
                </w:rPr>
                <w:t xml:space="preserve">Typical process and indicative timetable for a listing of a foreign company as an ASX Listing</w:t>
              </w:r>
            </w:p>
            <w:p>
              <w:pPr>
                <w:pStyle w:val="BodyText"/>
              </w:pPr>
              <w:hyperlink w:history="true" r:id="Re42020132608480d">
                <w:r>
                  <w:rPr>
                    <w:rStyle w:val="Hyperlink"/>
                  </w:rPr>
                  <w:t xml:space="preserve">Link to Timetable</w:t>
                </w:r>
              </w:hyperlink>
            </w:p>
            <w:p>
              <w:pPr>
                <w:pStyle w:val="BodyText"/>
              </w:pPr>
              <w:r>
                <w:t xml:space="preserve">The documentation and process requirements described in this section do not vary from what would be expected of a domestic company seeking ASX Listing.</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2-update/2022-aus-sec-exchange--listing-process.pdf?rev=72e6f75891494592a8af447515f88e4b&amp;sc_lang=en" TargetMode="External" Id="Re42020132608480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