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Vienna Stock Exchange</w:t>
      </w:r>
      <w:r w:rsidR="00480329"/>
    </w:p>
    <w:p w:rsidRPr="00BC7873" w:rsidR="00BC7873" w:rsidP="00D354EF" w:rsidRDefault="00051AB4" w14:paraId="2476CC56" w14:textId="2FB25FA9">
      <w:pPr>
        <w:pStyle w:val="Title"/>
      </w:pPr>
      <w:r w:rsidRPr="00BC7873">
        <w:t>Specific situations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Specific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additional requirements, or any changes in the normal requirements, that would specifically apply to very large Austrian companies. In practice, these companies are all listed on the prime market segment, in order to provide the highest quality reporting and to be included in the ATX or the ATX Prime indices. The five companies with the highest-weighted shares in the ATX form the ATX five.</w:t>
              </w:r>
            </w:p>
            <w:p>
              <w:pPr>
                <w:pStyle w:val="BodyText"/>
              </w:pPr>
              <w:r>
                <w:t xml:space="preserve">Similarly, there are no special requirements for smaller companies. Smaller companies that want to operate under a less stringent regime may apply for a listing on the standard market or the Vienna MTF.</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