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Belgium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Belgium</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Belgium, it is customary to finalize due diligence before the execution of the acquisition agreement. There are no particular issues that a foreign investor should be aware of when undertaking due diligence review of a Belgian entity or group of assets other than those usually reviewed. The main areas of review in the due diligence process vary from project to project but generally include corporate, financial, commercial, litigation, employment, real estate, intellectual property, environmental, regulatory and tax matters. Based on the due diligence findings, the parties may negotiate special closing conditions and specific indemnities and tailor representations and warranties.</w:t>
                  </w:r>
                </w:p>
                <w:p>
                  <w:pPr>
                    <w:pStyle w:val="BodyText"/>
                  </w:pPr>
                  <w:r>
                    <w:rPr>
                      <w:b/>
                    </w:rPr>
                    <w:t xml:space="preserve">Pricing and payment</w:t>
                  </w:r>
                </w:p>
                <w:p>
                  <w:pPr>
                    <w:pStyle w:val="BodyText"/>
                  </w:pPr>
                  <w:r>
                    <w:t xml:space="preserve">The "locked box" mechanism has become common for determining the purchase price for share deals in Belgium. However, closing accounts mechanisms are also used. Earn-outs are also sometimes seen. An escrow account may be opened for the purpose of holding an agreed amount of the purchase price for a specified period of time following completion (known as the retention period) and used as a means of off-setting claims made by the buyer under the terms of the agreement (in particular, claims under the warranties or any indemnities) that are notified prior to the expiry of the retention period.</w:t>
                  </w:r>
                </w:p>
                <w:p>
                  <w:pPr>
                    <w:pStyle w:val="BodyText"/>
                  </w:pPr>
                  <w:r>
                    <w:t xml:space="preserve">Wire transfers of funds, including through the SWIFT code international system, are the way of making cash price payments.</w:t>
                  </w:r>
                </w:p>
                <w:p>
                  <w:pPr>
                    <w:pStyle w:val="BodyText"/>
                  </w:pPr>
                  <w:r>
                    <w:rPr>
                      <w:b/>
                    </w:rPr>
                    <w:t xml:space="preserve">Signing/closing</w:t>
                  </w:r>
                </w:p>
                <w:p>
                  <w:pPr>
                    <w:pStyle w:val="BodyText"/>
                  </w:pPr>
                  <w:r>
                    <w:rPr>
                      <w:u w:val="single"/>
                    </w:rPr>
                    <w:t xml:space="preserve">Pre-contractual obligations</w:t>
                  </w:r>
                </w:p>
                <w:p>
                  <w:pPr>
                    <w:pStyle w:val="BodyText"/>
                  </w:pPr>
                  <w:r>
                    <w:t xml:space="preserve">Under Belgian law, parties negotiating a transaction, including a sale and purchase of shares, assets, or a business, are under a general obligation to conduct the negotiations in good faith. This entails, among other things, that negotiations that are at a reasonably advanced stage where a party can reasonably expect that a transaction will occur, in principle, cannot be terminated unilaterally without due and reasonable justification. Where there is a breach of pre-contractual obligations, the party in breach, and potentially even its representatives, can be held liable for damages.</w:t>
                  </w:r>
                </w:p>
                <w:p>
                  <w:pPr>
                    <w:pStyle w:val="BodyText"/>
                  </w:pPr>
                  <w:r>
                    <w:rPr>
                      <w:u w:val="single"/>
                    </w:rPr>
                    <w:t xml:space="preserve">Simultaneous signing and closing/conditions precedent</w:t>
                  </w:r>
                </w:p>
                <w:p>
                  <w:pPr>
                    <w:pStyle w:val="BodyText"/>
                  </w:pPr>
                  <w:r>
                    <w:t xml:space="preserve">In smaller deals, and otherwise where possible, simultaneous signing and closing is common. Whether signing and closing is simultaneous, or there is a gap between signing and closing, will depend on whether there are conditions precedent that must be satisfied, including regulatory approvals (e.g., merger control or foreign direct investment (FDI) approvals), carve-outs of certain parts of the target entity, third-party consents or waivers, or the resolution of issues discovered during due diligence.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Belgium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regime is targeted at foreign direct investments by foreign investors that can have an effect in Belgium on the following: (i) security; (ii) public order; or (iii) the strategic interests of the regions and communities. For further information, see the more detailed section on "Foreign investment restrictions".</w:t>
                  </w:r>
                </w:p>
                <w:p>
                  <w:pPr>
                    <w:pStyle w:val="BodyText"/>
                  </w:pPr>
                  <w:r>
                    <w:rPr>
                      <w:b/>
                    </w:rPr>
                    <w:t xml:space="preserve">Antitrust/merger control</w:t>
                  </w:r>
                </w:p>
                <w:p>
                  <w:pPr>
                    <w:pStyle w:val="BodyText"/>
                  </w:pPr>
                  <w:r>
                    <w:t xml:space="preserve">Belgium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t xml:space="preserve">Approval by the competent regulator may be required for acquisitions of companies that are subject to specific regulatory supervision, such as financial institutions, airports, telecom providers,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Method of transfer under local law</w:t>
                  </w:r>
                </w:p>
                <w:p>
                  <w:pPr>
                    <w:pStyle w:val="BodyText"/>
                  </w:pPr>
                  <w:r>
                    <w:rPr>
                      <w:i/>
                    </w:rPr>
                    <w:t xml:space="preserve">Share sale</w:t>
                  </w:r>
                </w:p>
                <w:p>
                  <w:pPr>
                    <w:pStyle w:val="BodyText"/>
                  </w:pPr>
                  <w:r>
                    <w:t xml:space="preserve">In a share purchase, all rights, duties and liabilities owed by, or to, the target company's employees continue to be owed by, or to, the target company, also after the acquisition.</w:t>
                  </w:r>
                </w:p>
                <w:p>
                  <w:pPr>
                    <w:pStyle w:val="BodyText"/>
                  </w:pPr>
                  <w:r>
                    <w:t xml:space="preserve">If there is an integration of the target company's business with the buyer's business post-acquisition, this is likely to constitute an acquisition of assets or a business transfer, and the considerations set out below will be relevant.</w:t>
                  </w:r>
                </w:p>
                <w:p>
                  <w:pPr>
                    <w:pStyle w:val="BodyText"/>
                  </w:pPr>
                  <w:r>
                    <w:rPr>
                      <w:i/>
                    </w:rPr>
                    <w:t xml:space="preserve">Asset sale</w:t>
                  </w:r>
                </w:p>
                <w:p>
                  <w:pPr>
                    <w:pStyle w:val="BodyText"/>
                  </w:pPr>
                  <w:r>
                    <w:t xml:space="preserve">If the asset sale qualifies as a transfer of an undertaking or part of an undertaking within the meaning of the Belgian transfer of undertaking legislation (National Collective Bargaining Agreement 32bis – CBA 32), the employees of the seller's business will automatically transfer to the buyer with all rights and obligations (with the exception, in principle, of extra-legal pension rights). These employees do not have the right to refuse to transfer to the buyer. If the asset sale does not qualify as a transfer of undertaking with the meaning of CBA 32, then the employees will only transfer subject to their consent.</w:t>
                  </w:r>
                </w:p>
                <w:p>
                  <w:pPr>
                    <w:pStyle w:val="BodyText"/>
                  </w:pPr>
                  <w:r>
                    <w:rPr>
                      <w:b/>
                    </w:rPr>
                    <w:t xml:space="preserve">Approval or information/consultation requirements</w:t>
                  </w:r>
                </w:p>
                <w:p>
                  <w:pPr>
                    <w:pStyle w:val="BodyText"/>
                  </w:pPr>
                  <w:r>
                    <w:rPr>
                      <w:i/>
                    </w:rPr>
                    <w:t xml:space="preserve">Share sale</w:t>
                  </w:r>
                </w:p>
                <w:p>
                  <w:pPr>
                    <w:pStyle w:val="BodyText"/>
                  </w:pPr>
                  <w:r>
                    <w:t xml:space="preserve">A company must, in principle, inform its Belgian works council (if any) upon the occurrence of events that are likely to have important consequences for the company. The fact that, as a result of a share deal, the company belongs to another group is often considered as triggering this obligation to inform the works council. Providing the works council with information should be done, if at all possible, at the latest when the news is disclosed to the public. A consultation of the works council is not required. If there is no Belgian works council, there is no information obligation.</w:t>
                  </w:r>
                </w:p>
                <w:p>
                  <w:pPr>
                    <w:pStyle w:val="BodyText"/>
                  </w:pPr>
                  <w:r>
                    <w:rPr>
                      <w:i/>
                    </w:rPr>
                    <w:t xml:space="preserve">Asset sale</w:t>
                  </w:r>
                </w:p>
                <w:p>
                  <w:pPr>
                    <w:pStyle w:val="BodyText"/>
                  </w:pPr>
                  <w:r>
                    <w:t xml:space="preserve">Whether or not the acquisition of assets/transfer of business qualifies as a transfer of undertaking within the meaning of CBA 32, the works council (if any) or, in the absence of a works council, the internal trade union delegation, or in the absence of an internal trade union delegation, the committee for the protection and prevention at work (CPPT) (if any) of the target company must be informed and consulted at a time when such information and consultation is still meaningful. It is usually considered that this information/consultation must occur before the final decision to transfer the assets/business. At the request of the representatives of the employees involved in the transfer of undertaking, the transferor must disclose the substance of the information and consultation to the identified transferee and invite the latter to introduce itself to the employees’ representatives during this information and consultation process. The transferee, however, cannot be compelled to accept the invitation.</w:t>
                  </w:r>
                </w:p>
                <w:p>
                  <w:pPr>
                    <w:pStyle w:val="BodyText"/>
                  </w:pPr>
                  <w:r>
                    <w:t xml:space="preserve">Provided that the sale of assets/transfer of a business qualifies as a transfer of an undertaking within the meaning of CBA 32, in the absence of a works council/trade union delegation/CPPT, the employees must be informed before the effective transfer. They must be informed about the contemplated date of the transfer, the reasons for the transfer, the contemplated measures towards the employees and the possible consequences of the transfer for the employees. Employees involved in the transfer of undertaking can request disclosure of the substance of the information to the identified transferee and invite the latter to introduce itself to the employees before the transfer.</w:t>
                  </w:r>
                </w:p>
                <w:p>
                  <w:pPr>
                    <w:pStyle w:val="BodyText"/>
                  </w:pPr>
                  <w:r>
                    <w:rPr>
                      <w:b/>
                    </w:rPr>
                    <w:t xml:space="preserve">Protection against dismissal</w:t>
                  </w:r>
                </w:p>
                <w:p>
                  <w:pPr>
                    <w:pStyle w:val="BodyText"/>
                  </w:pPr>
                  <w:r>
                    <w:t xml:space="preserve">If CBA 32 applies, the employees cannot be dismissed by reason of the transfer (be it by the buyer or the seller). If this prohibition is violated, the terminated employees may claim damages (in addition to the severance indemnity) the value of which may differ depending on the case law and the legal basis invoked by the employee.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The transfer of shares will generally not trigger any stamp duty in Belgium. A share transfer will generally be more beneficial for the seller than an asset deal, as capital gains realized in the context of a share deal are most often exempt from taxation for companies.</w:t>
                  </w:r>
                </w:p>
                <w:p>
                  <w:pPr>
                    <w:pStyle w:val="BodyText"/>
                  </w:pPr>
                  <w:r>
                    <w:t xml:space="preserve">Under current Belgian tax law, capital gains realized by individuals on the disposal of privately‑held shares are, as a rule, exempt from personal income tax when the transaction falls within the scope of the “normal management of private wealth.”</w:t>
                  </w:r>
                </w:p>
                <w:p>
                  <w:pPr>
                    <w:pStyle w:val="BodyText"/>
                  </w:pPr>
                  <w:r>
                    <w:t xml:space="preserve">Gains may nevertheless become taxable in specific situations, such as speculative transactions or sales of substantial shareholdings to non-EEA purchasers.</w:t>
                  </w:r>
                </w:p>
                <w:p>
                  <w:pPr>
                    <w:pStyle w:val="BodyText"/>
                  </w:pPr>
                  <w:r>
                    <w:t xml:space="preserve">For purposes of this regime, a substantial shareholding means that the individual (alone or together with close family members) has held, at any point during the last five years, more than 25% of the shares of the Belgian company whose shares are sold. Where this condition is met and the shares are sold to a company established outside the European Economic Area (EEA), the resulting gain is taxed at a flat rate of 16.5%. The same 16.5% rate also applies where the initial sale is made to an EEA company but is followed by a resale to a non‑EEA company within 12 months. This is why restrictions on the further sale, disposal, merger, etc. are often included in the initial share purchase agreement when the seller is a resident individual holding (or having held) such significant participation in the Belgian target.</w:t>
                  </w:r>
                </w:p>
                <w:p>
                  <w:pPr>
                    <w:pStyle w:val="BodyText"/>
                  </w:pPr>
                  <w:r>
                    <w:t xml:space="preserve">Against this backdrop, the Belgian government has proposed the introduction of a new capital gains tax on financial assets as part of a broader tax reform package. Although presented publicly, the measure has not yet been voted on by Parliament, and the final scope, rates, and timing may still evolve.</w:t>
                  </w:r>
                </w:p>
                <w:p>
                  <w:pPr>
                    <w:pStyle w:val="BodyText"/>
                  </w:pPr>
                  <w:r>
                    <w:t xml:space="preserve">As currently drafted, the reform would introduce, as of 1 January 2026, a tax on capital gains realized by Belgian‑resident individuals on the sale of shares and other financial instruments. The taxable gain would be limited to the value accrued from 1 January 2026 and would generally be subject to a flat tax rate of 10%, after deduction of an annual tax‑free allowance of EUR 10,000.</w:t>
                  </w:r>
                </w:p>
                <w:p>
                  <w:pPr>
                    <w:pStyle w:val="BodyText"/>
                  </w:pPr>
                  <w:r>
                    <w:t xml:space="preserve">For individuals holding a substantial participation—defined as more than 20% of the shares—the regime would be partially progressive. The first EUR 1,000,000 of capital gains would remain exempt, while the gain exceeding this threshold would be taxed at progressively increasing rates between 1.25% and 10%.</w:t>
                  </w:r>
                </w:p>
                <w:p>
                  <w:pPr>
                    <w:pStyle w:val="BodyText"/>
                  </w:pPr>
                  <w:r>
                    <w:t xml:space="preserve">The draft legislation also includes a parallel provision broadly aligned with the current rule for sales to a non-EEA company: capital gains realized by Belgian‑resident individuals on a substantial participation (again more than 20% on an individual basis — and no longer 25% on a close family basis) in a Belgian company sold to a non-EEA company would remain taxable at a flat 16.5% rate (but the first EUR 1,000,000 capital gains also would be exempt) where the shares are sold to a non‑EEA company.</w:t>
                  </w:r>
                </w:p>
                <w:p>
                  <w:pPr>
                    <w:pStyle w:val="BodyText"/>
                  </w:pPr>
                  <w:r>
                    <w:t xml:space="preserve">As the legislative process is ongoing, the final contours of the regime may still change. Taxpayers entering into transactions in 2026 and beyond should therefore closely monitor developments and seek tailored advice on the potential impact of the reform on any share disposal.</w:t>
                  </w:r>
                </w:p>
                <w:p>
                  <w:pPr>
                    <w:pStyle w:val="BodyText"/>
                  </w:pPr>
                  <w:r>
                    <w:t xml:space="preserve">Traditionally, share deals were less attractive for the buyer because of the absence of step-up in basis and because it was difficult to offset any interest paid on the acquisition financing against income from the Belgian target due to the absence of tax consolidation (group relief) in Belgium. However, Belgium has introduced some tax consolidation rules, applicable since financial year 2019. Under these rules, it is now possible to achieve the benefits of tax consolidation, however only after a minimum holding period of five years which, in practice allows for such benefit to arise after three to four years after acquisition, subject to certain additional conditions.</w:t>
                  </w:r>
                </w:p>
                <w:p>
                  <w:pPr>
                    <w:pStyle w:val="BodyText"/>
                  </w:pPr>
                  <w:r>
                    <w:rPr>
                      <w:b/>
                    </w:rPr>
                    <w:t xml:space="preserve">Asset sale</w:t>
                  </w:r>
                </w:p>
                <w:p>
                  <w:pPr>
                    <w:pStyle w:val="BodyText"/>
                  </w:pPr>
                  <w:r>
                    <w:t xml:space="preserve">Depending on the nature of the assets transferred, certain transfer taxes could become due. The sale of real estate (including heavy machinery that is an immovable property by incorporation) is, as a rule, subject to a transfer tax of generally 12% or 12.5% (depending on the region in which the real estate is located) calculated on the sales price or the fair market value, whichever is higher (certain reductions of the rate may apply). The transfer tax is normally payable by the buyer unless otherwise agreed between the parties. If a lease agreement is transferred, such transfer is subject to a transfer tax of 0.2%, calculated on the cumulative amount of the remaining lease payments and charges which are still due under the remaining term of the contract (5% in the case of the transfer of a leasehold right).</w:t>
                  </w:r>
                </w:p>
                <w:p>
                  <w:pPr>
                    <w:pStyle w:val="BodyText"/>
                  </w:pPr>
                  <w:r>
                    <w:t xml:space="preserve">Asset deals are generally less attractive for sellers because of the taxation of capital gains realized upon such transfer, except if there are sufficient losses to offset such gains. In view of the minimum taxation rules in Belgium which limit the use of carry-forward losses on the amount of taxable income exceeding EUR 1 million, even if there are sufficient losses to offset such gains, an asset deal may still no longer be attractive for the seller (as 30% of the amount of the net gain exceeding EUR 1 million will remain effectively subject to tax). By contrast, the benefit of asset deals for buyers is that they allow them to obtain a step up in basis (i.e., higher depreciable amounts), including goodwill, which can be amortized for tax purposes.</w:t>
                  </w:r>
                </w:p>
                <w:p>
                  <w:pPr>
                    <w:pStyle w:val="BodyText"/>
                  </w:pPr>
                  <w:r>
                    <w:rPr>
                      <w:b/>
                    </w:rPr>
                    <w:t xml:space="preserve">Value added tax</w:t>
                  </w:r>
                </w:p>
                <w:p>
                  <w:pPr>
                    <w:pStyle w:val="BodyText"/>
                  </w:pPr>
                  <w:r>
                    <w:t xml:space="preserve">While the sale of shares is normally exempt from Belgian value-added tax (VAT), the sale of assets is, as a general rule, subject to VAT at the standard rate of 21%. However, the transfer of certain assets (e.g., receivables) and the transfer of liabilities are VAT exempt. The sale of buildings is subject to VAT only if the buildings are still new for VAT purposes, i.e., if they are transferred within two years following the year of their first use. If the seller has deducted input VAT on the construction or renovation of the buildings, the transfer of those buildings without VAT within the applicable VAT recapture period – as a rule 15 years – (calculated as of 1 January of the year during which the right to deduct the input VAT arose) will normally trigger a pro-rata recapture at the level of the seller of (part of) the VAT initially deducted.</w:t>
                  </w:r>
                </w:p>
                <w:p>
                  <w:pPr>
                    <w:pStyle w:val="BodyText"/>
                  </w:pPr>
                  <w:r>
                    <w:t xml:space="preserve">The buyer normally pays the VAT due on the transfer to the seller, who is to remit that VAT to the authorities. If the buyer is entitled to fully deduct input VAT, the payment of such VAT to the seller merely entails a pre-financing cost. However, if the buyer is not entitled to fully deduct the input VAT, the non-deductible portion of the VAT due on the transfer constitutes an actual cost for the buyer.</w:t>
                  </w:r>
                </w:p>
                <w:p>
                  <w:pPr>
                    <w:pStyle w:val="BodyText"/>
                  </w:pPr>
                  <w:r>
                    <w:t xml:space="preserve">As an exception to the above rules, the transfer of assets and liabilities under an asset deal is exempt from VAT if it relates to an "entire business" or a "branch of activity" (so-called transfer of going concern or "TOGC exemption"). Transferred items constitute an "entire business" or a "branch of activity" if, for the buyer, they constitute a combination of elements allowing the buyer to carry on an independent economic activity. If all elements relating to an existing business are transferred, the TOGC exemption normally applies. If certain elements of the business are excluded from the transfer, it may be advisable to seek confirmation through a (formal or informal) ruling from the tax authority on whether the TOGC exemption will be applied.</w:t>
                  </w:r>
                </w:p>
                <w:p>
                  <w:pPr>
                    <w:pStyle w:val="BodyText"/>
                  </w:pPr>
                  <w:r>
                    <w:rPr>
                      <w:b/>
                    </w:rPr>
                    <w:t xml:space="preserve">Avoiding joint tax and social security liabilities in an asset sale</w:t>
                  </w:r>
                </w:p>
                <w:p>
                  <w:pPr>
                    <w:pStyle w:val="BodyText"/>
                  </w:pPr>
                  <w:r>
                    <w:t xml:space="preserve">In an asset deal, some special formalities should be observed by buyers to avoid joint liability with the seller for any outstanding tax and social security liabilities that the seller may have.</w:t>
                  </w:r>
                </w:p>
                <w:p>
                  <w:pPr>
                    <w:pStyle w:val="BodyText"/>
                  </w:pPr>
                  <w:r>
                    <w:t xml:space="preserve">If an asset deal qualifies as a transfer of "an entirety of goods composed of, among other things, elements that enable keeping the clientele," a certified copy of the transfer agreement must be filed with the relevant tax and social security authorities to make the transfer binding upon these authorities. The transfer will only be binding upon these authorities at the end of the month following the month of this notification, and meanwhile the buyer of the business is jointly liable for the tax (income tax and VAT) and social security liabilities of the seller up to the amount of the purchase price already paid (or deemed paid) to the seller during the aforementioned period during which the transfer is not yet binding upon the relevant tax and social security authorities.</w:t>
                  </w:r>
                </w:p>
                <w:p>
                  <w:pPr>
                    <w:pStyle w:val="BodyText"/>
                  </w:pPr>
                  <w:r>
                    <w:t xml:space="preserve">As an exception to this rule, a transfer will be immediately binding upon the relevant tax and social security authorities and the buyer will not be jointly liable for any outstanding liabilities of the seller if: (i) the seller obtains a "clean certificate" from the relevant tax and social security authorities (i.e. a document certifying that the seller does not have any outstanding liabilities vis-à-vis that particular authority); and (ii) the "clean certificate" is notified to the respective authorities at the same time as a copy of the transfer agreement. Note that the date on which the "clean certificate" was issued may only precede the date on which it is notified to the relevant authorities by a maximum of 30 days. To avoid last-minute complications, it is important to obtain any necessary "clean certificate" early on in the process.</w:t>
                  </w:r>
                </w:p>
                <w:p>
                  <w:pPr>
                    <w:pStyle w:val="BodyText"/>
                  </w:pPr>
                  <w:r>
                    <w:t xml:space="preserve">Note that none of the above applies (i.e. there is no need to obtain certificates or to notify the transfer deed) when the asset transfer is made in compliance with the transfer of an "entire business" or a "branch of activity", demerger or merger procedures set out in the Code of Companies and Associations, or provisions of foreign law applicable to the legal act when they offer equivalent protection to the creditor. In such circumstances, there is thus no risk of the assumption of any joint liability for tax and social security of the seller.</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was intended to introduce a global minimum effective rate of tax of 15% for large businesses in each jurisdiction where they operate, leading to fundamental changes in the international tax system. It has been implemented in a large number of jurisdictions, but some outside the EU resist (for example, the US).</w:t>
                  </w:r>
                </w:p>
                <w:p>
                  <w:pPr>
                    <w:pStyle w:val="BodyText"/>
                  </w:pPr>
                  <w:r>
                    <w:t xml:space="preserve">Generally speaking, groups will need to consider how the Pillar Two rules, as implemented, have an impact on the life cycle of M&amp;A transactions during the pre-acquisition phase (including transaction planning (such as the choice of acquisition structure and financing) and due diligence of the target group), the acquisition phase (and, in particular, the contractual risk allocation around Pillar Two) and the post-acquisition phase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c1027cdb1afb4b2d">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Belgium, the acquisition of a business is often structured via the acquisition of shares in a company, the acquisition of assets or the acquisition of an entire business, or a company's business division.</w:t>
                  </w:r>
                </w:p>
                <w:p>
                  <w:pPr>
                    <w:pStyle w:val="BodyText"/>
                  </w:pPr>
                  <w:r>
                    <w:t xml:space="preserve">Auction processes are common in Belgium and are typically governed by bid process letters. Most auction processes comprise a phase for non-binding indicative bid letters and a phase for binding offer letters.</w:t>
                  </w:r>
                </w:p>
                <w:p>
                  <w:pPr>
                    <w:pStyle w:val="BodyText"/>
                  </w:pPr>
                  <w:r>
                    <w:t xml:space="preserve">Mergers and demergers are less common methods of acquisitions in M&amp;A deals; however, they are frequently implemented in intra-group reorganizations. The merger procedure results in the dissolution of the absorbed company, the automatic transfer to the absorbing company of all assets and liabilities of the absorbed company by operation of law (subject to a few limited exceptions), and (unless the absorbed company is a wholly owned subsidiary of the absorbing company), the issuance of shares in the absorbing company to the shareholders of the absorbed company.</w:t>
                  </w:r>
                </w:p>
                <w:p>
                  <w:pPr>
                    <w:pStyle w:val="BodyText"/>
                  </w:pPr>
                  <w:r>
                    <w:t xml:space="preserve">There is no specific legislation governing M&amp;A in Belgium. The Belgian Code of Companies and Associations provides for merger and demerger procedures and optional corporate procedures for the transfer of an "entire business" or a "branch of activity" of a Belgian company. There is separate legislation governing public offers.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Limited liability companies in Belgium are the most commonly used form of corporate vehicle, in particular the naamloze vennootschap / société anonyme (NV/SA) and the besloten vennootschap / société à responsabilité limitée (BV/SRL).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commonly used types of limited liability companies in Belgium are the NV/SA and the BV/SRL.</w:t>
                  </w:r>
                </w:p>
                <w:p>
                  <w:pPr>
                    <w:pStyle w:val="BodyText"/>
                  </w:pPr>
                  <w:r>
                    <w:t xml:space="preserve">NV/SAs can be incorporated by one or more shareholders. The minimum share capital of an NV/SA is EUR 61,500 and shares can be issued with or without nominal value. Upon incorporation, the share capital must be fully underwritten and each share must be paid up for at least 25%, with an overall minimum of EUR 61,500 in aggregate. Shares in NV/SAs are, in principle, freely transferable. Contractual restrictions on the free transfer of shares in NV/SAs are possible but should be subject to time limitations and should always take into account the company's best interests. NV/SAs can be managed by either (i) a single director, (ii) a board of directors (conseil d'administration / raad van bestuur) or (iii) a management board (conseil de direction / directieraad) and a supervisory board (conseil de surveillance / raad van toezicht). The default option, however, is the board of directors ((ii)). The company's management is authorized to perform all actions not reserved for the general shareholders' meeting. Where applicable, the supervisory board will be responsible for the general policy and strategy of the company only. In contrast, the management board will be authorized to perform all actions not expressly allocated to the supervisory board or the shareholders' meeting. The company's management can adopt decisions by unanimous written consent (in lieu of a meeting).</w:t>
                  </w:r>
                </w:p>
                <w:p>
                  <w:pPr>
                    <w:pStyle w:val="BodyText"/>
                  </w:pPr>
                  <w:r>
                    <w:t xml:space="preserve">The SRL/BV is a flexible company without capital requirements. The SRL/BV can be incorporated and can exist with only one shareholder. In addition, there is a lot of room for contractual structuring and more possibilities with respect to the type of securities (such as unlimited multiple voting rights or preference shares, profit-sharing certificates, warrants, and convertible bonds, etc.) and transferability of securities. BV/SRLs are managed by one or more directors, who need not necessarily act as a collegiate body. The management of the company is authorized to perform all actions not reserved for the general shareholders' meeting. The management of the company can adopt decisions by unanimous written consent (in lieu of a meeting).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maximum number of shareholders in Belgian companies.</w:t>
                  </w:r>
                </w:p>
                <w:p>
                  <w:pPr>
                    <w:pStyle w:val="BodyText"/>
                  </w:pPr>
                  <w:r>
                    <w:t xml:space="preserve">A Belgian company of the NV/SA or BV/SRL type must have at least one shareholder. In the case where an NV/SA has only one shareholder, certain filing obligations in this respect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in theory, no strict legal requirement that an agreement for the sale and purchase of shares must be in writing. However, agreements always tend to be in writing because all parties wish to have written evidence of their agreement. All parties should receive one copy of the fully executed original agreement. It is common, in practice, that each page of the agreement will be initialed by or on behalf of each of the parties to identify the agreed pages. That said, electronic signatures have also become common.</w:t>
                  </w:r>
                </w:p>
                <w:p>
                  <w:pPr>
                    <w:pStyle w:val="BodyText"/>
                  </w:pPr>
                  <w:r>
                    <w:t xml:space="preserve">The transfer of title to registered shares must be recorded in the target company's share register to ensure the enforceability of the rights arising from the transfer against third parties and the company itself. The transfer of title to dematerialized shares is effected by moving the registration from one securities account to another.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Special rules may apply to the sale and transfer of specific assets, such as real estate (which requires a notary deed) or registered intellectual property rights (which require specific registration formalities). Transfers by operation of law of the "entire business" or (optionally) a "branch of activity" of a Belgian company require the advance filing of special forms with the clerk's office of the relevant Business Court, a waiting period, as well as, in certain cases, the execution of notary deeds to complete the transfer.</w:t>
                  </w:r>
                </w:p>
                <w:p>
                  <w:pPr>
                    <w:pStyle w:val="BodyText"/>
                  </w:pPr>
                  <w:r>
                    <w:t xml:space="preserve">Unless parties opt to apply the specific procedure provided for in the Belgian Code of Companies and Associations for the transfer of a "branch of activity" of a Belgian company by operation of law (or the transfer is a transfer of the "entire business"), no specific procedure is required to transfer title to the assets of a business as a going concern. Parties merely enter into a sale and purchase agreement, which will make the sale and purchase binding between them. Depending on the assets being transferred, however, certain formalities must be complied with to perfect the transfer of the relevant assets. Unless the contract provides otherwise, the obligations under a contract are not assignable by a party to such contract to a third party without the other party's consent. Transfer of the benefits under a contract (if not prohibited under a contract) must be notified to the relevant other party or parties to the contract unless the benefits constitute a business division or a company's entire business.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Letters of intent and term sheets are customary. Typically, letters of intent and term sheets are not intended to create legal rights or obligations upon the parties, except for certain specific agreed-upon provisions (such as confidentiality undertakings), and therefore do not constitute a binding agreement for an acquisition. Such a binding agreement is only entered into after further negotiations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Exclusivity provisions are customarily included in term sheets.</w:t>
                  </w:r>
                </w:p>
                <w:p>
                  <w:pPr>
                    <w:pStyle w:val="BodyText"/>
                  </w:pPr>
                  <w:pPr>
                    <w:pStyle w:val="ListParagraph"/>
                    <w:numPr>
                      <w:ilvl w:val="0"/>
                      <w:numId w:val="10"/>
                    </w:numPr>
                  </w:pPr>
                  <w:r>
                    <w:rPr>
                      <w:b/>
                    </w:rPr>
                    <w:t xml:space="preserve">Break fee:</w:t>
                  </w:r>
                  <w:r>
                    <w:t xml:space="preserve"> Break fee provisions are not customarily included in term sheets.</w:t>
                  </w:r>
                </w:p>
                <w:p>
                  <w:pPr>
                    <w:pStyle w:val="BodyText"/>
                  </w:pPr>
                  <w:pPr>
                    <w:pStyle w:val="ListParagraph"/>
                    <w:numPr>
                      <w:ilvl w:val="0"/>
                      <w:numId w:val="10"/>
                    </w:numPr>
                  </w:pPr>
                  <w:r>
                    <w:rPr>
                      <w:b/>
                    </w:rPr>
                    <w:t xml:space="preserve">Confidentiality:</w:t>
                  </w:r>
                  <w:r>
                    <w:t xml:space="preserve"> Confidentiality provisions are customarily included in term sheets.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usually negotiate separate confidentiality or non-disclosure agreements. Exclusivity and break fee provisions are sometimes included as part of a term sheet or letter of intent, and at other times included in a separate document.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Belgian law, parties negotiating a transaction, including a sale and purchase of shares, assets or a business, are under a general obligation to conduct the negotiations in good faith. This entails, among other things, that negotiations that are at a reasonably advanced stage can, in principle not be terminated unilaterally without due and reasonable justification. In addition, during the negotiations, parties must provide each other with the information that the law, good faith and common practice, taking into account the parties' capacity, their reasonable expectations and the object of the contract, require them to provide. In the event of a breach of pre-contractual obligations, the party in breach (and possibly its representatives) can be held liable.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purchase price adjustments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Adjustments for net (financial) debt and/or working capital are commonly seen. Fixed prices (locked box)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usually prepared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Earn-outs are rarely used, except in buyer-friendly circumstances and smaller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(often heavily resisted by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If there is an MAE, it is usually target-specific but general in scope.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General blue pencil/severability provisions (not specifically related to non-compete covenants) are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subject to competition law restrictions ('gun-jumping').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broad access, but often more tailored access to prepare closing and transition. There can be competition law issues around potential 'gun-jumping.'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updating the warranty disclosure and notification of possible breach between signing and closing are fairly common, also for warranty and indemnity (W&amp;I) insurance purposes. It is, however, sometimes agreed that the update must not prevent or limit the buyer's right to indemnification. The buyer's right to walk away in the case of a material update or breach between signing and closing may be negotiated (in the absence of an MAE). However, sometimes business warranties are not repeated at closing, and then no update of disclosure applies.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are sometimes not quantified.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fairly common. They are often limited to the actual knowledge of a specified list of senior management but sometimes expanded with imputed knowledge.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Repetition at completion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W&amp;I insured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correct. Material Adverse Effect or "in all material respects" qualifications are applied at times, but not routinely.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commonly 10% –20% for warranties (other than key warranties (e.g., title, capitalization, authority)), except for W&amp;I insurance insured transactions where the cap amount for business warranties is commonly EUR 1. It is also fairly common to have a cap of 100% of the purchase price for the seller's liability under the purchase agreement for all warranties (including key warranties), subject to certain carve-outs.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Some apply to warranties; others apply to liability for covenants or indemnities.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are often excepted (e.g., title, capitalization, authority) from the warranty cap. Where there is fraud by the seller, the limitations (including cap) are 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deductible is more often resisted, and a tipping basket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period of 18–24 months is fairly common for the business warranties. Tax, social security and key warranties are commonly longer than general warranties (statutory limitation periods). Environmental warranties can survive longer, and covenants for up to five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explicitly carve out fundamental warranties and fraud.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amounts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amounts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this is required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provide for a warranty from the buyer that, except for the disclosures, their deal team members are not actually aware of any breach of the seller's warranties (at signing).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Local law allows for a choice of governing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Belgian law is the common governing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litigation and arbitration are fairly common. The arbitration location is often in Belgium under local arbitration rules.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Stamp duty is 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rare to have a separate tax deed or tax covenants. Tax warranties and (specific) tax indemnities are fairly common.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c1027cdb1afb4b2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