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Brazil</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Brazilian law, the basic rule is that the plaintiff has the burden of proving its rights and the defendant has the burden of proving its arguments of defense. In principle, each party must produce its own evidence, and it is not obliged to disclose documents against its interests (this is set forth in the Constitution, in the Code of Criminal Procedure, in the American Convention of Human Rights and in the Code of Civil Procedure).</w:t>
                  </w:r>
                </w:p>
                <w:p>
                  <w:pPr>
                    <w:pStyle w:val="BodyText"/>
                  </w:pPr>
                  <w:r>
                    <w:t xml:space="preserve">However, a party may request the presentation of "common" documents in the other party's possession. A common document is not only a document that directly involves both parties (e.g., a contract), but also a document that relates to or has a connection with an existing legal relationship between the parties, or between one of the parties and a third party. As a result, the scope of a request for documents in the Brazilian system is narrower than the discovery/disclosure proceedings available in some common law jurisdictions.</w:t>
                  </w:r>
                </w:p>
                <w:p>
                  <w:pPr>
                    <w:pStyle w:val="BodyText"/>
                  </w:pPr>
                  <w:r>
                    <w:t xml:space="preserve">Under Brazilian law, a party may not present in civil litigation generic and overly broad requests for documentation. Claims for disclosure require a detailed description and identification of the requested documents and an indication of the purpose for which they are being sought. The requesting party may also be compelled to state the reasons why they believe that the requested documents exist and are in the other party's possession.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broad concept of protection is found in the Brazilian constitution and comprises the following:</w:t>
                  </w:r>
                </w:p>
                <w:p>
                  <w:pPr>
                    <w:pStyle w:val="BodyText"/>
                  </w:pPr>
                  <w:pPr>
                    <w:pStyle w:val="ListParagraph"/>
                    <w:numPr>
                      <w:ilvl w:val="0"/>
                      <w:numId w:val="11"/>
                    </w:numPr>
                  </w:pPr>
                  <w:r>
                    <w:t xml:space="preserve">The confidentiality of legal communications prepared for professional use</w:t>
                  </w:r>
                </w:p>
                <w:p>
                  <w:pPr>
                    <w:pStyle w:val="BodyText"/>
                  </w:pPr>
                  <w:pPr>
                    <w:pStyle w:val="ListParagraph"/>
                    <w:numPr>
                      <w:ilvl w:val="0"/>
                      <w:numId w:val="11"/>
                    </w:numPr>
                  </w:pPr>
                  <w:r>
                    <w:t xml:space="preserve">Client-lawyer privilege, which covers all communications related to the attorney's professional activity with a client, and applies to any lawyer licensed at the competent Brazilian bar</w:t>
                  </w:r>
                </w:p>
                <w:p>
                  <w:pPr>
                    <w:pStyle w:val="BodyText"/>
                  </w:pPr>
                  <w:pPr>
                    <w:pStyle w:val="ListParagraph"/>
                    <w:numPr>
                      <w:ilvl w:val="0"/>
                      <w:numId w:val="11"/>
                    </w:numPr>
                  </w:pPr>
                  <w:r>
                    <w:t xml:space="preserve">The inviolability of lawyers' offices and related work files</w:t>
                  </w:r>
                </w:p>
                <w:p>
                  <w:pPr>
                    <w:pStyle w:val="BodyText"/>
                  </w:pPr>
                  <w:r>
                    <w:t xml:space="preserve">As a result of this constitutional protection, written communications between a client and their lawyer (i.e., duly registered before the competent bar), whether in paper or electronic form, are deemed to be confidential and not subject to disclosure to third parties. Lawyers are also prevented from serving as witnesses in the course of legal work, unless the client authorizes the deposition. Below the constitutional level, several pieces of legislation also grant similar protection to the legal profession and to the confidentiality of attorney-client communications, such as: (i) the </w:t>
                  </w:r>
                  <w:r>
                    <w:t xml:space="preserve">Code of Ethical Conduct</w:t>
                  </w:r>
                  <w:r>
                    <w:t xml:space="preserve"> issued by the Brazilian Bar Association; (ii) Federal Law 8.906/94, which governs the Brazilian legal profession; (iii) the Code of Civil Procedure; (iv) the Code of Criminal Procedure; and (v) the criminal code.</w:t>
                  </w:r>
                </w:p>
                <w:p>
                  <w:pPr>
                    <w:pStyle w:val="BodyText"/>
                  </w:pPr>
                  <w:r>
                    <w:t xml:space="preserve">Exceptions to the general rule of confidentiality occur in very few situations and need to be carefully analyzed on a case-by-case basis. As a general overview, lawyers may be allowed to breach client-lawyer confidentiality in the following situations:</w:t>
                  </w:r>
                </w:p>
                <w:p>
                  <w:pPr>
                    <w:pStyle w:val="BodyText"/>
                  </w:pPr>
                  <w:pPr>
                    <w:pStyle w:val="ListParagraph"/>
                    <w:numPr>
                      <w:ilvl w:val="0"/>
                      <w:numId w:val="12"/>
                    </w:numPr>
                  </w:pPr>
                  <w:r>
                    <w:t xml:space="preserve">In cases of risk or threat to one's life or honor</w:t>
                  </w:r>
                </w:p>
                <w:p>
                  <w:pPr>
                    <w:pStyle w:val="BodyText"/>
                  </w:pPr>
                  <w:pPr>
                    <w:pStyle w:val="ListParagraph"/>
                    <w:numPr>
                      <w:ilvl w:val="0"/>
                      <w:numId w:val="12"/>
                    </w:numPr>
                  </w:pPr>
                  <w:r>
                    <w:t xml:space="preserve">For the lawyer's own protection and defense against the client, but limited to such defense purposes</w:t>
                  </w:r>
                </w:p>
                <w:p>
                  <w:pPr>
                    <w:pStyle w:val="BodyText"/>
                  </w:pPr>
                  <w:pPr>
                    <w:pStyle w:val="ListParagraph"/>
                    <w:numPr>
                      <w:ilvl w:val="0"/>
                      <w:numId w:val="12"/>
                    </w:numPr>
                  </w:pPr>
                  <w:r>
                    <w:t xml:space="preserve">When previously authorized by a client (waiver), except to serve as witnesses</w:t>
                  </w:r>
                </w:p>
                <w:p>
                  <w:pPr>
                    <w:pStyle w:val="BodyText"/>
                  </w:pPr>
                  <w:r>
                    <w:t xml:space="preserve">To reinforce the client-lawyer privilege rule and avoid abuses in searches made by police officers in law firms during criminal investigations, the Federal Law 8.906/94, which governs the Brazilian legal profession, has specific rules to guarantee that lawyers are entitled to resist the following:</w:t>
                  </w:r>
                </w:p>
                <w:p>
                  <w:pPr>
                    <w:pStyle w:val="BodyText"/>
                  </w:pPr>
                  <w:pPr>
                    <w:pStyle w:val="ListParagraph"/>
                    <w:numPr>
                      <w:ilvl w:val="0"/>
                      <w:numId w:val="13"/>
                    </w:numPr>
                  </w:pPr>
                  <w:r>
                    <w:t xml:space="preserve">Searches of their law firm or place of work</w:t>
                  </w:r>
                </w:p>
                <w:p>
                  <w:pPr>
                    <w:pStyle w:val="BodyText"/>
                  </w:pPr>
                  <w:pPr>
                    <w:pStyle w:val="ListParagraph"/>
                    <w:numPr>
                      <w:ilvl w:val="0"/>
                      <w:numId w:val="13"/>
                    </w:numPr>
                  </w:pPr>
                  <w:r>
                    <w:t xml:space="preserve">Turning over letters, electronic files, documents and conversations produced during the exercise of the legal profession</w:t>
                  </w:r>
                </w:p>
                <w:p>
                  <w:pPr>
                    <w:pStyle w:val="BodyText"/>
                  </w:pPr>
                  <w:r>
                    <w:t xml:space="preserve">Article 7(II) of Federal Law 8.906/94 sets forth that a lawyer has the right to the inviolability of their office or place of work, as well as their work instruments, and written, electronic, telephonic and telematic communications, as long as these are related to the practice of the legal profession. Note that there is no difference if the material was prepared in anticipation of litigation or in anticipation of trial, since the law determines that attorneys' work instruments are covered by the principle of inviolability.</w:t>
                  </w:r>
                </w:p>
                <w:p>
                  <w:pPr>
                    <w:pStyle w:val="BodyText"/>
                  </w:pPr>
                  <w:r>
                    <w:t xml:space="preserve">The same law also requires a representative of the local bar association during the execution of any judicial order allowing the search of any law firm.</w:t>
                  </w:r>
                </w:p>
                <w:p>
                  <w:pPr>
                    <w:pStyle w:val="BodyText"/>
                  </w:pPr>
                  <w:r>
                    <w:t xml:space="preserve">The exceptions mentioned above represent situations in which the attorney may breach confidentiality and the corresponding arguments may be raised at any time (i.e., during litigation and/or any other proceedings in which the attorney intends to disclose the privileged documents). In addition, it is important to mention that courts may disregard the protections for attorney-client communications where justice so requires.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Brazil, written communications between clients and their lawyers, whether in paper or electronic form, are deemed to be confidential. However, it is not clear within the Brazilian legal community whether (i) the privilege attaches to the communications themselves, which means they would still be privileged when in the client's possession; or (ii) the privilege applies only to the person of the lawyer, and thus copies held by the client would not be protected.</w:t>
                  </w:r>
                </w:p>
                <w:p>
                  <w:pPr>
                    <w:pStyle w:val="BodyText"/>
                  </w:pPr>
                  <w:r>
                    <w:t xml:space="preserve">Although we believe that the former position is stronger (i.e., the communications remain confidential in the client's possession), case law has not yet settled this issue. The court decisions involving this matter only state that a communication will be considered privileged and confidential as long as it is exchanged between the licensed attorney and their client during the exercise of the legal profession.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Brazilian law draws no specific distinction between external and in-house lawyers in relation to lawyers' professional rights and duties. Although the legislation does not make a distinction, some prerogatives such as privilege were constantly being questioned. As a result, in August 2021, the Provision No. 207/2021 of the Brazilian Bar Association regulated the prerogatives of in-house lawyers, establishing that they must be treated in the same way as those related to external lawyers, and ensuring that the same rights of confidentiality and privilege of attorney-client communications apply. According to the Ethics Code of the Brazilian Bar Association, in-house lawyers are required to be as independent as any other lawyer and are thus subject to the same rights and duties.</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Brazilian law draws no specific distinction between external and in-house lawyers in relation to lawyers' professional rights and duties. As long as the communication involves legal issues and the in-house counsel is licensed and registered at the competent Brazilian bar, the privilege extends to internal communications amongst in-house lawyers.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federal law, foreign lawyers have the same rights, duties and protections granted to Brazilian lawyers in relation to privilege, provided that they hold a Brazilian bar license authorizing them to practice in Brazil.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20"/>
                  </w:pPr>
                  <w:r>
                    <w:t xml:space="preserve">In general, under the Brazilian system, nonlegal professionals are not allowed to advise on legal issues. In the exceptional cases in which they are authorized to do so, nonlegal professionals cannot benefit from privilege, which is exclusive to those duly licensed at the Brazilian Bar.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document is given to a third party by the client or with the client's authorization, the client will be deemed to have waived confidentiality, and confidentiality will be lost. Such a document may have to be disclosed in litigation if the other party is able to provide a sufficiently detailed description of the document along with evidence that it has come into the third party's possession and the purpose of obtaining such information (article 397, Brazilian Code of Civil Procedure). In contrast, if a document is given to the third party by the lawyer in breach of the obligation of confidentiality, then confidentiality will not have been waived.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Brazil, attorney-client privilege encompasses any activity related to the practice of law in general, and it is a principle rooted in the duty of confidentiality imposed on lawyers (Federal Law 8.906/94).</w:t>
                  </w:r>
                </w:p>
                <w:p>
                  <w:pPr>
                    <w:pStyle w:val="BodyText"/>
                  </w:pPr>
                  <w:r>
                    <w:t xml:space="preserve">However, the Provision No. 188/2018 from the Brazilian Bar Association provides additional protection to internal investigations conducted by lawyers with the purpose of supporting their client's defense in the context of criminal proceedings, whether administrative (criminal investigations/inquiries/precautionary measures) or judicial (criminal lawsuits). The Provision states that lawyers may directly take the investigative measures that are necessary to clarify the facts, such as conducting interviews, data collection and research, and obtaining information available from public or private agencies, among other things. During the investigation, the lawyer must preserve the confidentiality of the information collected and will not have a duty to inform the authority about the results of the investigation.</w:t>
                  </w:r>
                </w:p>
                <w:p>
                  <w:pPr>
                    <w:pStyle w:val="BodyText"/>
                  </w:pPr>
                  <w:r>
                    <w:t xml:space="preserve">From a civil procedure perspective, the Brazilian Civil Procedure Code determines that parties are not required to testify about facts that are protected by professional confidentiality (article 388). From a criminal procedure perspective, the Brazilian Criminal Code determines that the breach of a professional secrecy without good cause is considered a crime (article 154). Thus, besides the attorney-client privilege's rules, the Brazilian legal system also protects professional secrecy in general.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issue of privilege in interviews with employees during internal investigations is not specifically regulated under Brazilian Law. On one hand, it is likely that the interview of an employee during internal investigations will be deemed to be subject to legal privilege, if the interviewers are all lawyers licensed to practice in Brazil. On the other hand, if there is someone interviewing the employee who is not a lawyer licensed to practice in Brazil, it is possible that the notes and recollections of such individual will not be subject to privilege under Brazilian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Lawyers cannot be compelled to breach the duty of client-lawyer confidentiality without a judicial order. Brazilian courts can order the breach of client-lawyer privilege in exceptional and very restricted circumstances based on reasonable grounds (i.e., if the lawyer is involved with the client in a crime or where there is a paramount interest of justice). In any event, the disclosure of information obtained for professional use must be limited to the minimum extent necessary to permit the use in question.</w:t>
                  </w:r>
                </w:p>
                <w:p>
                  <w:pPr>
                    <w:pStyle w:val="BodyText"/>
                  </w:pPr>
                  <w:r>
                    <w:t xml:space="preserve">The case law</w:t>
                  </w:r>
                  <w:r>
                    <w:rPr>
                      <w:vertAlign w:val="superscript"/>
                    </w:rPr>
                    <w:t xml:space="preserve">1</w:t>
                  </w:r>
                  <w:r>
                    <w:t xml:space="preserve"> is in the sense that, unless there are reasons to believe that the attorney is involved in a criminal activity with their client, the attorney may not be compelled to disclose information. The following methods are recommended to preserve the privilege: (i) label sensitive documents as 'confidential information', include language; (ii) claiming privilege and ensure that the responsible lawyer is always copied in all communications; (iii) limit communications on sensitive legal issues, instructing the recipient not to forward to third parties; (iv) ensure that the lawyer is a member of the Brazilian bar; and (v) ensure that the communication with the lawyer involves only legal issues, and not purely business or commercial issues.</w:t>
                  </w:r>
                </w:p>
                <w:p>
                  <w:pPr>
                    <w:pStyle w:val="BodyText"/>
                  </w:pPr>
                  <w:r>
                    <w:br/>
                  </w:r>
                </w:p>
                <w:p>
                  <w:pPr>
                    <w:pStyle w:val="BodyText"/>
                  </w:pPr>
                  <w:pPr>
                    <w:pBdr>
                      <w:top w:val="single" w:sz="4"/>
                    </w:pBdr>
                  </w:pPr>
                  <w:r/>
                </w:p>
                <w:p>
                  <w:pPr>
                    <w:pStyle w:val="BodyText"/>
                  </w:pPr>
                  <w:pPr>
                    <w:jc w:val="both"/>
                    <w:spacing w:after="0"/>
                  </w:pPr>
                  <w:r>
                    <w:rPr>
                      <w:sz w:val="14"/>
                    </w:rPr>
                    <w:t xml:space="preserve">[1] The case law is as follows:</w:t>
                  </w:r>
                </w:p>
                <w:p>
                  <w:pPr>
                    <w:pStyle w:val="BodyText"/>
                  </w:pPr>
                  <w:pPr>
                    <w:ind w:left="360" w:right="0"/>
                    <w:spacing w:before="0" w:after="0"/>
                  </w:pPr>
                  <w:r>
                    <w:rPr>
                      <w:sz w:val="14"/>
                    </w:rPr>
                    <w:t xml:space="preserve">The protection set forth in article 7, II, of Law No. 8,906/1994 does not serve to shield lawyers from criminal prosecution for offenses committed personally. It is a guarantee aimed at the exercise of legal practice and protects the constitutional role performed by the lawyer in relation to their clients, whether criminally accused or not, but it must not be used as a shield for crimes committed by the lawyer themselves (Superior Court of Justice, AgRg nos EDcl no AREsp 2047390/PR, Reporting Justice Antonio Saldanha Palheiro, ruled on 25 March 2025).</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rule and/or case law covering how generative AI tools impact attorney-client privilege in Brazil. Recently, the Federal Council of the Brazilian Bar Association issued a recommendation (001/2024) that (a) explicitly warns that the use of generative AI tools shall not compromise confidentiality/attorney-client privilege and (b) advised that lawyers must avoid inputting sensitive client data into AI systems without an explicit guarantee of data protection and confidentiality. This recommendation also encourages lawyers to get consent from their clients about the use of the AI, including the nature of the technology, the processing of personal data, etc.</w:t>
                  </w:r>
                </w:p>
                <w:p>
                  <w:pPr>
                    <w:pStyle w:val="BodyText"/>
                  </w:pPr>
                  <w:r>
                    <w:t xml:space="preserve">The principles and scope of attorney-client privilege (section 3) continue to be applied in the AI environment, which means that recordings of communications made by third parties (like Zoom/Teams meeting recordings) and other AI communications may destroy the privilege. If the meeting is about a sensitive matter, we recommend labeling the corresponding invite and limiting the number of participants (a lawyer must attend the meeting). Also, we recommend getting the client's consent to use AI tools and </w:t>
                  </w:r>
                  <w:r>
                    <w:t xml:space="preserve">not inputting sensitive information into these systems.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The Provision No. 188/2018 from the Brazilian Bar Association provides additional guarantees to internal investigations conducted by lawyers for the defense of their clients in criminal proceedings and the Provision No. 207/2021 equates the prerogatives/rights of in-house lawyers with those of external lawyers. Both provisions increase the protection for attorney-client communications and attorney work product. </w:t>
                  </w:r>
                </w:p>
                <w:p>
                  <w:pPr>
                    <w:pStyle w:val="BodyText"/>
                  </w:pPr>
                  <w:pPr>
                    <w:pStyle w:val="ListParagraph"/>
                    <w:numPr>
                      <w:ilvl w:val="0"/>
                      <w:numId w:val="10"/>
                    </w:numPr>
                  </w:pPr>
                  <w:r>
                    <w:t xml:space="preserve">In June 2022, the Law 14.365/22 added new rules to the Code of Ethical Conduct of the Brazilian Bar Association involving the legal profession and lawyers' activities. In relation to privilege, this law strengthened the protection regarding the inviolability of lawyers' offices, since it brought in a specific rule to determine that injunctions aiming to violate lawyers' offices/work places are exceptional and require proper evidence.</w:t>
                  </w:r>
                </w:p>
                <w:p>
                  <w:pPr>
                    <w:pStyle w:val="BodyText"/>
                  </w:pPr>
                  <w:pPr>
                    <w:pStyle w:val="ListParagraph"/>
                    <w:numPr>
                      <w:ilvl w:val="0"/>
                      <w:numId w:val="10"/>
                    </w:numPr>
                  </w:pPr>
                  <w:r>
                    <w:t xml:space="preserve">On 20 February 2024, Minister Dias Toffoli of the Supreme Federal Court ruled in favor of the Brazilian Bar Association, ordering the removal of communications illegally obtained between a client and lawyer. The Brazilian Bar Association emphasized that attorney-client confidentiality is essential for trust in the justice system and the decision, based on such principle, removed from the court dockets of a specific investigation case the communication held between client/attorney. (INQ 4940 / DF, Reporting Justice Dias Toffoli, judged on 19 February 2024).</w:t>
                  </w:r>
                </w:p>
                <w:p>
                  <w:pPr>
                    <w:pStyle w:val="BodyText"/>
                  </w:pPr>
                  <w:pPr>
                    <w:pStyle w:val="ListParagraph"/>
                    <w:numPr>
                      <w:ilvl w:val="0"/>
                      <w:numId w:val="10"/>
                    </w:numPr>
                  </w:pPr>
                  <w:r>
                    <w:t xml:space="preserve">On 14 November 2024, the Federal Council of the Brazilian Bar Association issued a recommendation (001/2024) that (a) explicitly warns that the use of generative AI tools shall not compromise confidentiality/attorney-client privilege and (b) advised that lawyers must avoid inputting sensitive client data into AI systems without an explicit guarantee of data protection and confidentiality.</w:t>
                  </w:r>
                </w:p>
                <w:p>
                  <w:pPr>
                    <w:pStyle w:val="BodyText"/>
                  </w:pPr>
                  <w:pPr>
                    <w:pStyle w:val="ListParagraph"/>
                    <w:numPr>
                      <w:ilvl w:val="0"/>
                      <w:numId w:val="10"/>
                    </w:numPr>
                  </w:pPr>
                  <w:r>
                    <w:t xml:space="preserve">On March 2025, the Superior Court of Justice decided the following in a criminal procedure:</w:t>
                  </w:r>
                </w:p>
                <w:p>
                  <w:pPr>
                    <w:pStyle w:val="BodyText"/>
                  </w:pPr>
                  <w:pPr>
                    <w:ind w:left="1440"/>
                  </w:pPr>
                  <w:r>
                    <w:t xml:space="preserve">"telephone confidentiality, as an extension of the right to privacy and the exercise of the legal profession, is not absolute. There are exceptional cases in which the public interest prevails over the guarantee provided in Article 7, II, of the Brazilian Bar Association Statute, particularly in cases such as the present one, involving the wiretapping of a lawyer who holds public office and uses it to commit criminal acts.” (AgRg in RHC No. 110.287/MG, Reporting Justice Antonio Saldanha Palheiro, published on 18 March 2025).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Joaquim de Paiva Muniz*</w:t>
                  </w:r>
                  <w:r>
                    <w:br/>
                  </w:r>
                  <w:r>
                    <w:t xml:space="preserve">Partner, Trench Rossi Watanabe</w:t>
                  </w:r>
                  <w:r>
                    <w:br/>
                  </w:r>
                  <w:r>
                    <w:t xml:space="preserve">+55 21 2206 4921</w:t>
                  </w:r>
                  <w:r>
                    <w:br/>
                  </w:r>
                  <w:hyperlink w:history="true" r:id="Rd9605cd8a3dc40b1">
                    <w:r>
                      <w:rPr>
                        <w:rStyle w:val="Hyperlink"/>
                      </w:rPr>
                      <w:t xml:space="preserve">joaquim.muniz@trenchrossi.com</w:t>
                    </w:r>
                  </w:hyperlink>
                </w:p>
                <w:p>
                  <w:pPr>
                    <w:pStyle w:val="BodyText"/>
                  </w:pPr>
                  <w:r>
                    <w:rPr>
                      <w:b/>
                    </w:rPr>
                    <w:t xml:space="preserve">Marcio Polto*</w:t>
                  </w:r>
                  <w:r>
                    <w:br/>
                  </w:r>
                  <w:r>
                    <w:t xml:space="preserve">Partner, Trench Rossi Watanabe</w:t>
                  </w:r>
                  <w:r>
                    <w:br/>
                  </w:r>
                  <w:r>
                    <w:t xml:space="preserve">+55 11 3048 6923</w:t>
                  </w:r>
                  <w:r>
                    <w:br/>
                  </w:r>
                  <w:hyperlink w:history="true" r:id="R539c7dd24e744e95">
                    <w:r>
                      <w:rPr>
                        <w:rStyle w:val="Hyperlink"/>
                      </w:rPr>
                      <w:t xml:space="preserve">marcio.polto@trenchrossi.com</w:t>
                    </w:r>
                  </w:hyperlink>
                </w:p>
                <w:p>
                  <w:pPr>
                    <w:pStyle w:val="BodyText"/>
                  </w:pPr>
                  <w:r>
                    <w:rPr>
                      <w:b/>
                    </w:rPr>
                    <w:t xml:space="preserve">Fernanda Haddad*</w:t>
                  </w:r>
                  <w:r>
                    <w:br/>
                  </w:r>
                  <w:r>
                    <w:t xml:space="preserve">Partner, Trench Rossi Watanabe</w:t>
                  </w:r>
                  <w:r>
                    <w:br/>
                  </w:r>
                  <w:r>
                    <w:t xml:space="preserve">+55 11 3048 6550</w:t>
                  </w:r>
                  <w:r>
                    <w:br/>
                  </w:r>
                  <w:hyperlink w:history="true" r:id="R86747e88ba634822">
                    <w:r>
                      <w:rPr>
                        <w:rStyle w:val="Hyperlink"/>
                      </w:rPr>
                      <w:t xml:space="preserve">fernanda.haddad@trenchrossi.com</w:t>
                    </w:r>
                  </w:hyperlink>
                </w:p>
                <w:p>
                  <w:pPr>
                    <w:pStyle w:val="BodyText"/>
                  </w:pPr>
                  <w:r>
                    <w:t xml:space="preserve"> </w:t>
                  </w:r>
                </w:p>
                <w:p>
                  <w:pPr>
                    <w:pStyle w:val="BodyText"/>
                  </w:pPr>
                  <w:r>
                    <w:drawing>
                      <wp:inline distT="0" distB="0" distL="0" distR="0">
                        <wp:extent cx="1343025" cy="628650"/>
                        <wp:effectExtent l="19050" t="0" r="0" b="0"/>
                        <wp:docPr id="5" name="https://resourcehub.bakermckenzie.com/en/-/media/global-privilege-center/images/logo-trench-rossi.png?sc_lang=en&amp;amp;rev=42895fb75d1241a697b7480557e2cd0f"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rivilege-center/images/logo-trench-rossi.png?sc_lang=en&amp;amp;rev=42895fb75d1241a697b7480557e2cd0f" descr="Logo Trench Rossi Watanabe"/>
                                <pic:cNvPicPr>
                                  <a:picLocks noChangeAspect="1" noChangeArrowheads="1"/>
                                </pic:cNvPicPr>
                              </pic:nvPicPr>
                              <pic:blipFill>
                                <a:blip r:embed="Ra099744ed2aa4717"/>
                                <a:srcRect/>
                                <a:stretch>
                                  <a:fillRect/>
                                </a:stretch>
                              </pic:blipFill>
                              <pic:spPr bwMode="auto">
                                <a:xfrm>
                                  <a:off x="0" y="0"/>
                                  <a:ext cx="1343025" cy="628650"/>
                                </a:xfrm>
                                <a:prstGeom prst="rect">
                                  <a:avLst/>
                                </a:prstGeom>
                              </pic:spPr>
                            </pic:pic>
                          </a:graphicData>
                        </a:graphic>
                      </wp:inline>
                    </w:drawing>
                  </w:r>
                </w:p>
                <w:p>
                  <w:pPr>
                    <w:pStyle w:val="BodyText"/>
                  </w:pPr>
                  <w:r>
                    <w:t xml:space="preserve">*Trench Rossi Watanabe and Baker McKenzie have executed a strategic cooperation agreement for consulting on foreign law.</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joaquim.muniz@trenchrossi.com" TargetMode="External" Id="Rd9605cd8a3dc40b1" /><Relationship Type="http://schemas.openxmlformats.org/officeDocument/2006/relationships/hyperlink" Target="mailto:marcio.polto@trenchrossi.com" TargetMode="External" Id="R539c7dd24e744e95" /><Relationship Type="http://schemas.openxmlformats.org/officeDocument/2006/relationships/hyperlink" Target="mailto:fernanda.haddad@trenchrossi.com" TargetMode="External" Id="R86747e88ba634822" /><Relationship Type="http://schemas.openxmlformats.org/officeDocument/2006/relationships/image" Target="/media/image3.png" Id="Ra099744ed2aa471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