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Hungary</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In Hungary, it is customary to finalize the due diligence exercise before the execution of the acquisition agreement. There are no particular issues that a foreign investor should be aware of when undertaking a due diligence review of an entity incorporated, or a group of assets, in Hungary, other than those usually reviewed. The main areas of review in the due diligence process vary from transaction to transaction but generally include corporate, commercial, employment, real estate, financing, environmental, regulatory and tax matters.</w:t>
              </w:r>
            </w:p>
            <w:p>
              <w:pPr>
                <w:pStyle w:val="BodyText"/>
              </w:pPr>
              <w:r>
                <w:t xml:space="preserve">In a share sale transaction, reviewing material contracts (shareholder agreements, supplier and customer contracts, banking contracts) for change of control provisions is key to the due diligence exercise. In an asset sale, restrictions on the seller's ability to assign, or otherwise transfer, its rights or interests in the assets to the buyer are the most relevant issues to consider in the due diligence.</w:t>
              </w:r>
            </w:p>
            <w:p>
              <w:pPr>
                <w:pStyle w:val="BodyText"/>
              </w:pPr>
              <w:r>
                <w:t xml:space="preserve">Based on the outcome of the due diligence exercise, the parties may negotiate tailored conditions precedent and/or specific indemnities and/or specific warranties.</w:t>
              </w:r>
            </w:p>
            <w:p>
              <w:pPr>
                <w:pStyle w:val="BodyText"/>
              </w:pPr>
              <w:r>
                <w:rPr>
                  <w:b/>
                </w:rPr>
                <w:t xml:space="preserve">Pricing and payment</w:t>
              </w:r>
            </w:p>
            <w:p>
              <w:pPr>
                <w:pStyle w:val="BodyText"/>
              </w:pPr>
              <w:r>
                <w:t xml:space="preserve">The payment of deposits is not common practice in Hungary.</w:t>
              </w:r>
            </w:p>
            <w:p>
              <w:pPr>
                <w:pStyle w:val="BodyText"/>
              </w:pPr>
              <w:r>
                <w:t xml:space="preserve">The most common form of consideration is cash, though sellers may prefer to receive loan notes or equity from a tax-planning perspective. It is common for the initial purchase price to be stated on a "cash-free, debt-free" basis either: (i) with the inclusion of a purchase price adjustment mechanism determined by reference to the working capital, or net assets, of the target company (or business) at closing by reference to completion accounts (the completion balance sheet is usually prepared by the buyer, or an audit firm on its behalf, but is not formally audited); or (ii) on the basis of a "locked box" mechanism.</w:t>
              </w:r>
            </w:p>
            <w:p>
              <w:pPr>
                <w:pStyle w:val="BodyText"/>
              </w:pPr>
              <w:r>
                <w:t xml:space="preserve">While it is not common to provide for deposits or break fees, an escrow arrangement is relatively standard in respect of warranty claims.</w:t>
              </w:r>
            </w:p>
            <w:p>
              <w:pPr>
                <w:pStyle w:val="BodyText"/>
              </w:pPr>
              <w:r>
                <w:t xml:space="preserve">Electronic transfers of funds, including through the SWIFT Code international system, are the most common way of paying cash consideration.</w:t>
              </w:r>
            </w:p>
            <w:p>
              <w:pPr>
                <w:pStyle w:val="BodyText"/>
              </w:pPr>
              <w:r>
                <w:rPr>
                  <w:b/>
                </w:rPr>
                <w:t xml:space="preserve">Signing/closing</w:t>
              </w:r>
            </w:p>
            <w:p>
              <w:pPr>
                <w:pStyle w:val="BodyText"/>
              </w:pPr>
              <w:r>
                <w:rPr>
                  <w:u w:val="single"/>
                </w:rPr>
                <w:t xml:space="preserve">Simultaneous signing and closing/conditions precedent</w:t>
              </w:r>
            </w:p>
            <w:p>
              <w:pPr>
                <w:pStyle w:val="BodyText"/>
              </w:pPr>
              <w:r>
                <w:t xml:space="preserve">Subject to the detailed procedure for completion that is set out in the acquisition agreement, the shares or assets being sold are formally transferred to the buyer upon closing of the transaction. Usually, the purchase price is paid on or after closing.</w:t>
              </w:r>
            </w:p>
            <w:p>
              <w:pPr>
                <w:pStyle w:val="BodyText"/>
              </w:pPr>
              <w:r>
                <w:t xml:space="preserve">In smaller deals, and otherwise, where possible, simultaneous signing and closing is common. Whether signing and closing is simultaneous or non-simultaneous will depend on whether there are conditions precedent that must be satisfied, including regulatory approvals (e.g., foreign investment restrictions or antitrust/merger control), the carve-out of certain parts of the target entity, third-party consents or waivers, or the resolution of problems discovered during the due diligence exercise.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 </w:t>
              </w:r>
            </w:p>
            <w:p>
              <w:pPr>
                <w:pStyle w:val="BodyText"/>
              </w:pPr>
              <w:r>
                <w:t xml:space="preserve">Hungary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foreign investment review (FIR) regime is targeted at certain sectors. For further information, see the more detailed section on "Foreign investment restrictions".</w:t>
              </w:r>
            </w:p>
            <w:p>
              <w:pPr>
                <w:pStyle w:val="BodyText"/>
              </w:pPr>
              <w:r>
                <w:rPr>
                  <w:b/>
                </w:rPr>
                <w:t xml:space="preserve">Antitrust/merger control</w:t>
              </w:r>
              <w:r>
                <w:t xml:space="preserve"> </w:t>
              </w:r>
            </w:p>
            <w:p>
              <w:pPr>
                <w:pStyle w:val="BodyText"/>
              </w:pPr>
              <w:r>
                <w:t xml:space="preserve">Hungary has a mandatory and suspensory merger control regime, which means that transactions that meet the relevant criteria need to be notified to the competition authority and cleared before they can be completed. Certain transactions that meet the relevant criteria are subject to voluntary, non-suspensory notification, if it is not apparent that the transaction will not lead to a significant lessening of competition. If not notified, such transactions may be investigated by the competition authority within six months post-closing ex officio.</w:t>
              </w:r>
            </w:p>
            <w:p>
              <w:pPr>
                <w:pStyle w:val="BodyText"/>
              </w:pPr>
              <w:r>
                <w:t xml:space="preserve">It is also necessary to consider EU merger control rules. Mergers involving companies active in several member states and reaching certain turnover thresholds are examined at European level by the European Commission. This allows companies trading in different EU member states to obtain clearance for their mergers in one go. </w:t>
              </w:r>
              <w:r>
                <w:t xml:space="preserve">For further information, see the more detailed section on "Antitrust/merger control" below.</w:t>
              </w:r>
            </w:p>
            <w:p>
              <w:pPr>
                <w:pStyle w:val="BodyText"/>
              </w:pPr>
              <w:r>
                <w:rPr>
                  <w:b/>
                </w:rPr>
                <w:t xml:space="preserve">EU Foreign Subsidies Regulation</w:t>
              </w:r>
            </w:p>
            <w:p>
              <w:pPr>
                <w:pStyle w:val="BodyText"/>
              </w:pPr>
              <w:r>
                <w:t xml:space="preserve">As of 12 October 2023, 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w:t>
              </w:r>
            </w:p>
            <w:p>
              <w:pPr>
                <w:pStyle w:val="BodyText"/>
              </w:pPr>
              <w:r>
                <w:rPr>
                  <w:b/>
                </w:rPr>
                <w:t xml:space="preserve">Other regulatory or government approvals </w:t>
              </w:r>
            </w:p>
            <w:p>
              <w:pPr>
                <w:pStyle w:val="BodyText"/>
              </w:pPr>
              <w:r>
                <w:t xml:space="preserve">Approval by the relevant authority may be required for the acquisition of a target that is subject to specific regulatory supervision, such as financial and credit institutions, energy providers, weapon manufacturers, telecoms providers,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Acquisition of shares</w:t>
              </w:r>
            </w:p>
            <w:p>
              <w:pPr>
                <w:pStyle w:val="BodyText"/>
              </w:pPr>
              <w:r>
                <w:t xml:space="preserve">An acquisition of shares is not considered a transfer of an undertaking for employment law purposes. It will, therefore, not involve the transfer of employees, but simply a change in the ownership of the employer (not a change in the employer per se). As such, all rights, duties and liabilities owed by, or to, the employees of the target company continue to be owed by, or to, the target company and the buyer therefore inherits all those rights, duties and liabilities by virtue of being the new owner of the target company.</w:t>
              </w:r>
            </w:p>
            <w:p>
              <w:pPr>
                <w:pStyle w:val="BodyText"/>
              </w:pPr>
              <w:r>
                <w:t xml:space="preserve">However, if there is a post-acquisition integration of the target company's business with the buyer's business, this is likely to constitute an acquisition of assets (or a business transfer), and the considerations set out in the next section will be relevant.</w:t>
              </w:r>
            </w:p>
            <w:p>
              <w:pPr>
                <w:pStyle w:val="BodyText"/>
              </w:pPr>
              <w:r>
                <w:rPr>
                  <w:b/>
                </w:rPr>
                <w:t xml:space="preserve">Acquisition of assets</w:t>
              </w:r>
            </w:p>
            <w:p>
              <w:pPr>
                <w:pStyle w:val="BodyText"/>
              </w:pPr>
              <w:r>
                <w:t xml:space="preserve">The automatic transfer of employees on an asset sale takes effect pursuant to the provisions of the Act I of 2012 on the Labor Code, provided that the asset sale comprises the sale of an undertaking (for example, a sale of a business (or an identifiable part of a business)).</w:t>
              </w:r>
            </w:p>
            <w:p>
              <w:pPr>
                <w:pStyle w:val="BodyText"/>
              </w:pPr>
              <w:r>
                <w:t xml:space="preserve">Where there is a relevant transfer, the employment contracts of those employees who are assigned to the business being transferred transfer automatically to the transferee on their existing terms and conditions of employment. The transferee effectively steps into the transferor's shoes with regard to the transferring employees such that all of the transferor's rights, powers, duties and liabilities under, or in connection with, the transferring employees' contracts pass to the transferee, and any acts or omissions of the transferor before the transfer are treated as having been done by the transferee.</w:t>
              </w:r>
            </w:p>
            <w:p>
              <w:pPr>
                <w:pStyle w:val="BodyText"/>
              </w:pPr>
              <w:r>
                <w:t xml:space="preserve">Employees of the seller's business do not have the right to refuse to transfer to the buyer. However, if the transfer involves, or would involve, a substantial change in working conditions to the material detriment of the transferring employees, the employee may terminate their employment relationship within 30 days following the transfer effective date. In such cases, the employee may be entitled to a severance payment if the conditions of such payment are met.</w:t>
              </w:r>
            </w:p>
            <w:p>
              <w:pPr>
                <w:pStyle w:val="BodyText"/>
              </w:pPr>
              <w:r>
                <w:t xml:space="preserve">As a result of the transfer, the buyer stands in the place of the seller with regards to the employees' contracts of employment.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Acquisition of shares</w:t>
              </w:r>
            </w:p>
            <w:p>
              <w:pPr>
                <w:pStyle w:val="BodyText"/>
              </w:pPr>
              <w:pPr>
                <w:pStyle w:val="ListParagraph"/>
                <w:numPr>
                  <w:ilvl w:val="0"/>
                  <w:numId w:val="9"/>
                </w:numPr>
              </w:pPr>
              <w:r>
                <w:t xml:space="preserve">No Value Added Tax (VAT) is due on a share deal.</w:t>
              </w:r>
            </w:p>
            <w:p>
              <w:pPr>
                <w:pStyle w:val="BodyText"/>
              </w:pPr>
              <w:pPr>
                <w:pStyle w:val="ListParagraph"/>
                <w:numPr>
                  <w:ilvl w:val="0"/>
                  <w:numId w:val="9"/>
                </w:numPr>
              </w:pPr>
              <w:r>
                <w:t xml:space="preserve">Real Estate Transfer Tax (RETT) may apply in the case of a domestic real estate holding company. </w:t>
              </w:r>
            </w:p>
            <w:p>
              <w:pPr>
                <w:pStyle w:val="BodyText"/>
              </w:pPr>
              <w:pPr>
                <w:pStyle w:val="ListParagraph"/>
                <w:numPr>
                  <w:ilvl w:val="0"/>
                  <w:numId w:val="9"/>
                </w:numPr>
              </w:pPr>
              <w:r>
                <w:t xml:space="preserve">Capital gains deriving from the sale are subject to 9% Corporate Income Tax (CIT).</w:t>
              </w:r>
            </w:p>
            <w:p>
              <w:pPr>
                <w:pStyle w:val="BodyText"/>
              </w:pPr>
              <w:pPr>
                <w:pStyle w:val="ListParagraph"/>
                <w:numPr>
                  <w:ilvl w:val="0"/>
                  <w:numId w:val="9"/>
                </w:numPr>
              </w:pPr>
              <w:r>
                <w:t xml:space="preserve">A reported participation scheme is available to achieve exemption from future capital gains for exit.</w:t>
              </w:r>
            </w:p>
            <w:p>
              <w:pPr>
                <w:pStyle w:val="BodyText"/>
              </w:pPr>
              <w:r>
                <w:rPr>
                  <w:b/>
                </w:rPr>
                <w:t xml:space="preserve">Acquisition of assets</w:t>
              </w:r>
            </w:p>
            <w:p>
              <w:pPr>
                <w:pStyle w:val="BodyText"/>
              </w:pPr>
              <w:pPr>
                <w:pStyle w:val="ListParagraph"/>
                <w:numPr>
                  <w:ilvl w:val="0"/>
                  <w:numId w:val="10"/>
                </w:numPr>
              </w:pPr>
              <w:r>
                <w:t xml:space="preserve">Gains deriving from an asset deal are part of the tax base, and, therefore, they are taxable for the seller. </w:t>
              </w:r>
            </w:p>
            <w:p>
              <w:pPr>
                <w:pStyle w:val="BodyText"/>
              </w:pPr>
              <w:pPr>
                <w:pStyle w:val="ListParagraph"/>
                <w:numPr>
                  <w:ilvl w:val="0"/>
                  <w:numId w:val="10"/>
                </w:numPr>
              </w:pPr>
              <w:r>
                <w:t xml:space="preserve">An asset deal is subject to VAT. </w:t>
              </w:r>
            </w:p>
            <w:p>
              <w:pPr>
                <w:pStyle w:val="BodyText"/>
              </w:pPr>
              <w:pPr>
                <w:pStyle w:val="ListParagraph"/>
                <w:numPr>
                  <w:ilvl w:val="0"/>
                  <w:numId w:val="10"/>
                </w:numPr>
              </w:pPr>
              <w:r>
                <w:t xml:space="preserve">Preferential schemes available: Gains realized on reported intangibles may be exempted from CIT if certain conditions are met. </w:t>
              </w:r>
            </w:p>
            <w:p>
              <w:pPr>
                <w:pStyle w:val="BodyText"/>
              </w:pPr>
              <w:pPr>
                <w:pStyle w:val="ListParagraph"/>
                <w:numPr>
                  <w:ilvl w:val="0"/>
                  <w:numId w:val="10"/>
                </w:numPr>
              </w:pPr>
              <w:r>
                <w:t xml:space="preserve">If the transferred asset is an immovable property located in Hungary or real estate-related rights, the transaction triggers RETT.</w:t>
              </w:r>
            </w:p>
            <w:p>
              <w:pPr>
                <w:pStyle w:val="BodyText"/>
              </w:pPr>
              <w:r>
                <w:rPr>
                  <w:b/>
                </w:rPr>
                <w:t xml:space="preserve">OECD's Two Pillar Solution</w:t>
              </w:r>
            </w:p>
            <w:p>
              <w:pPr>
                <w:pStyle w:val="BodyText"/>
              </w:pPr>
              <w:r>
                <w:t xml:space="preserve">Hungary implemented Pillar Two via Act LXXXIV of 2023 on supplementary taxes ensuring the global minimum tax level, which transposes the EU Minimum Tax Directive and establishes a Qualified Domestic Minimum Top‑up Tax (“</w:t>
              </w:r>
              <w:r>
                <w:rPr>
                  <w:b/>
                </w:rPr>
                <w:t xml:space="preserve">QDMTT</w:t>
              </w:r>
              <w:r>
                <w:t xml:space="preserve">”) alongside the Income Inclusion Rule (“</w:t>
              </w:r>
              <w:r>
                <w:rPr>
                  <w:b/>
                </w:rPr>
                <w:t xml:space="preserve">IIR</w:t>
              </w:r>
              <w:r>
                <w:t xml:space="preserve">”) and Undertaxed Payments Rule (“</w:t>
              </w:r>
              <w:r>
                <w:rPr>
                  <w:b/>
                </w:rPr>
                <w:t xml:space="preserve">UTPR</w:t>
              </w:r>
              <w:r>
                <w:t xml:space="preserve">”).</w:t>
              </w:r>
            </w:p>
            <w:p>
              <w:pPr>
                <w:pStyle w:val="BodyText"/>
              </w:pPr>
              <w:r>
                <w:t xml:space="preserve">The IIR and QDMTT apply from tax years starting in 2024, while the UTPR applies from 2025.</w:t>
              </w:r>
            </w:p>
            <w:p>
              <w:pPr>
                <w:pStyle w:val="BodyText"/>
              </w:pPr>
              <w:r>
                <w:t xml:space="preserve">In‑scope are MNE or large domestic groups with consolidated revenues reaching EUR 750 million. Hungary also introduced a Pillar Two notification regime. This means that taxpayers in scope should notify the Hungarian Tax Authority at the latest on the last day of the second month following their tax year's end about them being subject to the rules.</w:t>
              </w:r>
            </w:p>
            <w:p>
              <w:pPr>
                <w:pStyle w:val="BodyText"/>
              </w:pPr>
              <w:r>
                <w:t xml:space="preserve">Hungary requires a QDMTT advance return and payment (e.g., 20 Nov 2025 for calendar‑year 2024), with penalties for late or missing filings.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61fedffeb48543b1">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61fedffeb48543b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