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 Chi Minh Stock Exchange</w:t>
      </w:r>
      <w:r w:rsidR="00480329"/>
    </w:p>
    <w:p w:rsidRPr="00BC7873" w:rsidR="00BC7873" w:rsidP="00D354EF" w:rsidRDefault="00051AB4" w14:paraId="2476CC56" w14:textId="2FB25FA9">
      <w:pPr>
        <w:pStyle w:val="Title"/>
      </w:pPr>
      <w:r w:rsidRPr="00BC7873">
        <w:t>Additional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Additional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materials to be distributed to shareholders can be in Vietnamese and English but the Vietnamese version will prevail.</w:t>
              </w:r>
            </w:p>
            <w:p>
              <w:pPr>
                <w:pStyle w:val="BodyText"/>
              </w:pPr>
              <w:r>
                <w:t xml:space="preserve">Materials to be submitted to the HOSE or other regulatory authorities can be submitted only in Vietnamese. Documents issued abroad and in a foreign language have to be consular, legalized, and accompanied with a certified Vietnamese translation for the purpose of submission.</w:t>
              </w:r>
            </w:p>
            <w:p>
              <w:pPr>
                <w:pStyle w:val="BodyText"/>
              </w:pPr>
              <w:r>
                <w:t xml:space="preserve">As noted in Section 2, in order for shares of a foreign company to be listed in Vietnam, such company must conduct a public offer of shares in Vietnam. Domestic companies are not subject to such requirement. To date, there have been no foreign companies listed on any stock exchange in Vietnam, so the process remains untested in practice.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