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Hungary</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See </w:t>
              </w:r>
              <w:hyperlink w:history="true" r:id="Rd0ed59b64e9441bc">
                <w:r>
                  <w:rPr>
                    <w:rStyle w:val="Hyperlink"/>
                  </w:rPr>
                  <w:t xml:space="preserve">http://www.herke.hu/tan/18lima.pdf</w:t>
                </w:r>
              </w:hyperlink>
              <w:r>
                <w:rPr>
                  <w:color w:val="002856"/>
                </w:rPr>
                <w:t xml:space="preserve"> </w:t>
              </w:r>
              <w:r>
                <w:rPr>
                  <w:color w:val="002856"/>
                </w:rPr>
                <w:t xml:space="preserve">for additional information.</w:t>
              </w:r>
            </w:p>
            <w:p>
              <w:pPr>
                <w:pStyle w:val="BodyText"/>
              </w:pPr>
              <w:r>
                <w:rPr>
                  <w:color w:val="000000"/>
                  <w:vertAlign w:val="superscript"/>
                </w:rPr>
                <w:t xml:space="preserve">[2]</w:t>
              </w:r>
              <w:r>
                <w:t xml:space="preserve">    See Section 212/A of the Criminal Code.</w:t>
              </w:r>
            </w:p>
            <w:p>
              <w:pPr>
                <w:pStyle w:val="BodyText"/>
              </w:pPr>
              <w:r>
                <w:rPr>
                  <w:color w:val="000000"/>
                  <w:vertAlign w:val="superscript"/>
                </w:rPr>
                <w:t xml:space="preserve">[3]</w:t>
              </w:r>
              <w:r>
                <w:t xml:space="preserve">    Section 164 of the Criminal Code.</w:t>
              </w:r>
            </w:p>
            <w:p>
              <w:pPr>
                <w:pStyle w:val="BodyText"/>
              </w:pPr>
              <w:r>
                <w:rPr>
                  <w:color w:val="000000"/>
                  <w:vertAlign w:val="superscript"/>
                </w:rPr>
                <w:t xml:space="preserve">[4]</w:t>
              </w:r>
              <w:r>
                <w:t xml:space="preserve">    Section 227 (2) of the Criminal Code.</w:t>
              </w:r>
            </w:p>
            <w:p>
              <w:pPr>
                <w:pStyle w:val="BodyText"/>
              </w:pPr>
              <w:r>
                <w:rPr>
                  <w:color w:val="000000"/>
                  <w:vertAlign w:val="superscript"/>
                </w:rPr>
                <w:t xml:space="preserve">[5]</w:t>
              </w:r>
              <w:r>
                <w:t xml:space="preserve">    Section 194 (1) of the Criminal Code.</w:t>
              </w:r>
            </w:p>
            <w:p>
              <w:pPr>
                <w:pStyle w:val="BodyText"/>
              </w:pPr>
              <w:r>
                <w:rPr>
                  <w:color w:val="000000"/>
                  <w:vertAlign w:val="superscript"/>
                </w:rPr>
                <w:t xml:space="preserve">[6]</w:t>
              </w:r>
              <w:r>
                <w:t xml:space="preserve">    See Principle Decision of the Curia EBH 2017.B.17.</w:t>
              </w:r>
            </w:p>
            <w:p>
              <w:pPr>
                <w:pStyle w:val="BodyText"/>
              </w:pPr>
              <w:r>
                <w:rPr>
                  <w:color w:val="000000"/>
                  <w:vertAlign w:val="superscript"/>
                </w:rPr>
                <w:t xml:space="preserve">[7]</w:t>
              </w:r>
              <w:r>
                <w:t xml:space="preserve">    See Principle Decision of the Curia BH 2020.195.</w:t>
              </w:r>
            </w:p>
            <w:p>
              <w:pPr>
                <w:pStyle w:val="BodyText"/>
              </w:pPr>
              <w:r>
                <w:rPr>
                  <w:color w:val="000000"/>
                  <w:vertAlign w:val="superscript"/>
                </w:rPr>
                <w:t xml:space="preserve">[8]</w:t>
              </w:r>
              <w:r>
                <w:t xml:space="preserve">    See Principle Decision of the Curia EBH 2012.P.3.</w:t>
              </w:r>
            </w:p>
            <w:p>
              <w:pPr>
                <w:pStyle w:val="BodyText"/>
              </w:pPr>
              <w:r>
                <w:rPr>
                  <w:color w:val="000000"/>
                  <w:vertAlign w:val="superscript"/>
                </w:rPr>
                <w:t xml:space="preserve">[9]</w:t>
              </w:r>
              <w:r>
                <w:t xml:space="preserve">    Section 8 of the Civil Protection Act.</w:t>
              </w:r>
            </w:p>
            <w:p>
              <w:pPr>
                <w:pStyle w:val="BodyText"/>
              </w:pPr>
              <w:r>
                <w:rPr>
                  <w:color w:val="000000"/>
                  <w:vertAlign w:val="superscript"/>
                </w:rPr>
                <w:t xml:space="preserve">[10]</w:t>
              </w:r>
              <w:r>
                <w:t xml:space="preserve">    </w:t>
              </w:r>
              <w:hyperlink w:history="true" r:id="Ra65d79d1b5154f9f">
                <w:r>
                  <w:rPr>
                    <w:rStyle w:val="Hyperlink"/>
                    <w:color w:val="000000"/>
                  </w:rPr>
                  <w:t xml:space="preserve">The Fundamental Law of Hungary</w:t>
                </w:r>
              </w:hyperlink>
              <w:r>
                <w:t xml:space="preserve">.</w:t>
              </w:r>
            </w:p>
            <w:p>
              <w:pPr>
                <w:pStyle w:val="BodyText"/>
              </w:pPr>
              <w:r>
                <w:rPr>
                  <w:color w:val="000000"/>
                  <w:vertAlign w:val="superscript"/>
                </w:rPr>
                <w:t xml:space="preserve">[11]</w:t>
              </w:r>
              <w:r>
                <w:t xml:space="preserve">    Section 212/A of the Criminal Code.</w:t>
              </w:r>
            </w:p>
            <w:p>
              <w:pPr>
                <w:pStyle w:val="BodyText"/>
              </w:pPr>
              <w:r>
                <w:rPr>
                  <w:color w:val="000000"/>
                  <w:vertAlign w:val="superscript"/>
                </w:rPr>
                <w:t xml:space="preserve">[12]</w:t>
              </w:r>
              <w:r>
                <w:t xml:space="preserve">    Section 222 of the Criminal Code.</w:t>
              </w:r>
            </w:p>
            <w:p>
              <w:pPr>
                <w:pStyle w:val="BodyText"/>
              </w:pPr>
              <w:r>
                <w:rPr>
                  <w:color w:val="000000"/>
                  <w:vertAlign w:val="superscript"/>
                </w:rPr>
                <w:t xml:space="preserve">[13]</w:t>
              </w:r>
              <w:r>
                <w:t xml:space="preserve">    Section 50 of the Criminal Procedural Code.</w:t>
              </w:r>
            </w:p>
            <w:p>
              <w:pPr>
                <w:pStyle w:val="BodyText"/>
              </w:pPr>
              <w:r>
                <w:rPr>
                  <w:color w:val="000000"/>
                  <w:vertAlign w:val="superscript"/>
                </w:rPr>
                <w:t xml:space="preserve">[14]</w:t>
              </w:r>
              <w:r>
                <w:t xml:space="preserve">    Section 12 of the Criminal Code.</w:t>
              </w:r>
            </w:p>
            <w:p>
              <w:pPr>
                <w:pStyle w:val="BodyText"/>
              </w:pPr>
              <w:r>
                <w:rPr>
                  <w:color w:val="000000"/>
                  <w:vertAlign w:val="superscript"/>
                </w:rPr>
                <w:t xml:space="preserve">[15]</w:t>
              </w:r>
              <w:r>
                <w:t xml:space="preserve">    Section 280 of the Criminal Procedural Code.</w:t>
              </w:r>
            </w:p>
            <w:p>
              <w:pPr>
                <w:pStyle w:val="BodyText"/>
              </w:pPr>
              <w:r>
                <w:rPr>
                  <w:color w:val="000000"/>
                  <w:vertAlign w:val="superscript"/>
                </w:rPr>
                <w:t xml:space="preserve">[16]</w:t>
              </w:r>
              <w:r>
                <w:t xml:space="preserve">    Commentary to Section 5 of the Criminal Procedural Code.</w:t>
              </w:r>
            </w:p>
            <w:p>
              <w:pPr>
                <w:pStyle w:val="BodyText"/>
              </w:pPr>
              <w:r>
                <w:rPr>
                  <w:color w:val="000000"/>
                  <w:vertAlign w:val="superscript"/>
                </w:rPr>
                <w:t xml:space="preserve">[17]</w:t>
              </w:r>
              <w:r>
                <w:t xml:space="preserve">    Section 196 of the Criminal Code.</w:t>
              </w:r>
            </w:p>
            <w:p>
              <w:pPr>
                <w:pStyle w:val="BodyText"/>
              </w:pPr>
              <w:r>
                <w:rPr>
                  <w:color w:val="000000"/>
                  <w:vertAlign w:val="superscript"/>
                </w:rPr>
                <w:t xml:space="preserve">[18]</w:t>
              </w:r>
              <w:r>
                <w:t xml:space="preserve">    Section 459 (1) point 4 of the Criminal Code.</w:t>
              </w:r>
            </w:p>
            <w:p>
              <w:pPr>
                <w:pStyle w:val="BodyText"/>
              </w:pPr>
              <w:r>
                <w:rPr>
                  <w:color w:val="000000"/>
                  <w:vertAlign w:val="superscript"/>
                </w:rPr>
                <w:t xml:space="preserve">[19]</w:t>
              </w:r>
              <w:r>
                <w:t xml:space="preserve">    Section 459 (1) point 14 of the Criminal Code.</w:t>
              </w:r>
            </w:p>
            <w:p>
              <w:pPr>
                <w:pStyle w:val="BodyText"/>
              </w:pPr>
              <w:pPr>
                <w:jc w:val="both"/>
              </w:pPr>
              <w:r>
                <w:rPr>
                  <w:color w:val="000000"/>
                  <w:vertAlign w:val="superscript"/>
                </w:rPr>
                <w:t xml:space="preserve">[20]</w:t>
              </w:r>
              <w:r>
                <w:t xml:space="preserve">    Civil Protection Act, Section 5 (</w:t>
              </w:r>
              <w:hyperlink w:history="true" r:id="Rf4b3eac665e640b6">
                <w:r>
                  <w:rPr>
                    <w:rStyle w:val="Hyperlink"/>
                  </w:rPr>
                  <w:t xml:space="preserve">https://net.jogtar.hu/jogszabaly?docid=a0900072.tv</w:t>
                </w:r>
              </w:hyperlink>
              <w:r>
                <w:t xml:space="preserve">).</w:t>
              </w:r>
            </w:p>
            <w:p>
              <w:pPr>
                <w:pStyle w:val="BodyText"/>
              </w:pPr>
              <w:pPr>
                <w:jc w:val="both"/>
              </w:pPr>
              <w:r>
                <w:rPr>
                  <w:color w:val="000000"/>
                  <w:vertAlign w:val="superscript"/>
                </w:rPr>
                <w:t xml:space="preserve">[21]</w:t>
              </w:r>
              <w:r>
                <w:t xml:space="preserve">    Civil Protection Act, Section 1 (</w:t>
              </w:r>
              <w:hyperlink w:history="true" r:id="Re12f5de0c2b64049">
                <w:r>
                  <w:rPr>
                    <w:rStyle w:val="Hyperlink"/>
                  </w:rPr>
                  <w:t xml:space="preserve">https://net.jogtar.hu/jogszabaly?docid=a0900072.tv</w:t>
                </w:r>
              </w:hyperlink>
              <w:r>
                <w:t xml:space="preserve">).</w:t>
              </w:r>
            </w:p>
            <w:p>
              <w:pPr>
                <w:pStyle w:val="BodyText"/>
              </w:pPr>
              <w:r>
                <w:rPr>
                  <w:color w:val="000000"/>
                  <w:vertAlign w:val="superscript"/>
                </w:rPr>
                <w:t xml:space="preserve">[22]</w:t>
              </w:r>
              <w:r>
                <w:t xml:space="preserve">    </w:t>
              </w:r>
              <w:hyperlink w:history="true" r:id="Rb5c15a87f0c848ab">
                <w:r>
                  <w:rPr>
                    <w:rStyle w:val="Hyperlink"/>
                  </w:rPr>
                  <w:t xml:space="preserve">https://net.jogtar.hu/jogszabaly?docid=99700031.tv</w:t>
                </w:r>
              </w:hyperlink>
              <w:r>
                <w:t xml:space="preserve">.</w:t>
              </w:r>
            </w:p>
            <w:p>
              <w:pPr>
                <w:pStyle w:val="BodyText"/>
              </w:pPr>
              <w:r>
                <w:rPr>
                  <w:color w:val="000000"/>
                  <w:vertAlign w:val="superscript"/>
                </w:rPr>
                <w:t xml:space="preserve">[23]</w:t>
              </w:r>
              <w:r>
                <w:t xml:space="preserve">    </w:t>
              </w:r>
              <w:hyperlink w:history="true" r:id="R2e37c6e50b2a487c">
                <w:r>
                  <w:rPr>
                    <w:rStyle w:val="Hyperlink"/>
                  </w:rPr>
                  <w:t xml:space="preserve">https://net.jogtar.hu/jogszabaly?docid=99300003.tv</w:t>
                </w:r>
              </w:hyperlink>
              <w:r>
                <w:t xml:space="preserve">.</w:t>
              </w:r>
            </w:p>
            <w:p>
              <w:pPr>
                <w:pStyle w:val="BodyText"/>
              </w:pPr>
              <w:r>
                <w:rPr>
                  <w:color w:val="000000"/>
                  <w:vertAlign w:val="superscript"/>
                </w:rPr>
                <w:t xml:space="preserve">[24]</w:t>
              </w:r>
              <w:r>
                <w:t xml:space="preserve">    Section 16 (2) of the Civil Protection Act.</w:t>
              </w:r>
            </w:p>
            <w:p>
              <w:pPr>
                <w:pStyle w:val="BodyText"/>
              </w:pPr>
              <w:r>
                <w:rPr>
                  <w:color w:val="000000"/>
                  <w:vertAlign w:val="superscript"/>
                </w:rPr>
                <w:t xml:space="preserve">[25]</w:t>
              </w:r>
              <w:r>
                <w:t xml:space="preserve">    Section 6 (4) of the Civil Protection Act.</w:t>
              </w:r>
            </w:p>
            <w:p>
              <w:pPr>
                <w:pStyle w:val="BodyText"/>
              </w:pPr>
              <w:r>
                <w:rPr>
                  <w:color w:val="000000"/>
                  <w:vertAlign w:val="superscript"/>
                </w:rPr>
                <w:t xml:space="preserve">[26]</w:t>
              </w:r>
              <w:r>
                <w:t xml:space="preserve">    </w:t>
              </w:r>
              <w:r>
                <w:t xml:space="preserve">Section 16 of the Criminal Code.</w:t>
              </w:r>
            </w:p>
            <w:p>
              <w:pPr>
                <w:pStyle w:val="BodyText"/>
              </w:pPr>
              <w:r>
                <w:rPr>
                  <w:color w:val="000000"/>
                  <w:vertAlign w:val="superscript"/>
                </w:rPr>
                <w:t xml:space="preserve">[27]</w:t>
              </w:r>
              <w:r>
                <w:t xml:space="preserve">    Section 17 of the Criminal Code.</w:t>
              </w:r>
            </w:p>
            <w:p>
              <w:pPr>
                <w:pStyle w:val="BodyText"/>
              </w:pPr>
              <w:r>
                <w:rPr>
                  <w:color w:val="000000"/>
                  <w:vertAlign w:val="superscript"/>
                </w:rPr>
                <w:t xml:space="preserve">[28]</w:t>
              </w:r>
              <w:r>
                <w:t xml:space="preserve">    Section 19 of the Criminal Code.</w:t>
              </w:r>
            </w:p>
            <w:p>
              <w:pPr>
                <w:pStyle w:val="BodyText"/>
              </w:pPr>
              <w:r>
                <w:rPr>
                  <w:color w:val="000000"/>
                  <w:vertAlign w:val="superscript"/>
                </w:rPr>
                <w:t xml:space="preserve">[29]</w:t>
              </w:r>
              <w:r>
                <w:t xml:space="preserve">    Section 20 of the Criminal Code.</w:t>
              </w:r>
            </w:p>
            <w:p>
              <w:pPr>
                <w:pStyle w:val="BodyText"/>
              </w:pPr>
              <w:r>
                <w:rPr>
                  <w:color w:val="000000"/>
                  <w:vertAlign w:val="superscript"/>
                </w:rPr>
                <w:t xml:space="preserve">[30]</w:t>
              </w:r>
              <w:r>
                <w:t xml:space="preserve">    </w:t>
              </w:r>
              <w:r>
                <w:t xml:space="preserve">Section 21 of the Criminal Code.</w:t>
              </w:r>
            </w:p>
            <w:p>
              <w:pPr>
                <w:pStyle w:val="BodyText"/>
              </w:pPr>
              <w:r>
                <w:rPr>
                  <w:color w:val="000000"/>
                  <w:vertAlign w:val="superscript"/>
                </w:rPr>
                <w:t xml:space="preserve">[31]</w:t>
              </w:r>
              <w:r>
                <w:t xml:space="preserve">    </w:t>
              </w:r>
              <w:r>
                <w:t xml:space="preserve">Section 23 of the Criminal Code.</w:t>
              </w:r>
            </w:p>
            <w:p>
              <w:pPr>
                <w:pStyle w:val="BodyText"/>
              </w:pPr>
              <w:r>
                <w:rPr>
                  <w:color w:val="000000"/>
                  <w:vertAlign w:val="superscript"/>
                </w:rPr>
                <w:t xml:space="preserve">[32]</w:t>
              </w:r>
              <w:r>
                <w:t xml:space="preserve">    </w:t>
              </w:r>
              <w:r>
                <w:t xml:space="preserve">Section 24 of the Criminal Code.</w:t>
              </w:r>
            </w:p>
            <w:p>
              <w:pPr>
                <w:pStyle w:val="BodyText"/>
              </w:pPr>
              <w:r>
                <w:rPr>
                  <w:color w:val="000000"/>
                  <w:vertAlign w:val="superscript"/>
                </w:rPr>
                <w:t xml:space="preserve">[33]</w:t>
              </w:r>
              <w:r>
                <w:t xml:space="preserve">    Sections 268-270 of the Criminal Code.</w:t>
              </w:r>
            </w:p>
            <w:p>
              <w:pPr>
                <w:pStyle w:val="BodyText"/>
              </w:pPr>
              <w:pPr>
                <w:jc w:val="both"/>
              </w:pPr>
              <w:r>
                <w:rPr>
                  <w:color w:val="000000"/>
                  <w:vertAlign w:val="superscript"/>
                </w:rPr>
                <w:t xml:space="preserve">[34]</w:t>
              </w:r>
              <w:r>
                <w:t xml:space="preserve">    Section 181 of Act II of 2012 on Minor Offenses, Minor Offense Proceedings and the Minor Offense Registration System ("</w:t>
              </w:r>
              <w:r>
                <w:rPr>
                  <w:b/>
                </w:rPr>
                <w:t xml:space="preserve">Minor Offenses Act</w:t>
              </w:r>
              <w:r>
                <w:t xml:space="preserve">").</w:t>
              </w:r>
            </w:p>
            <w:p>
              <w:pPr>
                <w:pStyle w:val="BodyText"/>
              </w:pPr>
              <w:r>
                <w:rPr>
                  <w:color w:val="000000"/>
                  <w:vertAlign w:val="superscript"/>
                </w:rPr>
                <w:t xml:space="preserve">[35]</w:t>
              </w:r>
              <w:r>
                <w:t xml:space="preserve">    Section 221 of the Criminal Code.</w:t>
              </w:r>
            </w:p>
            <w:p>
              <w:pPr>
                <w:pStyle w:val="BodyText"/>
              </w:pPr>
              <w:r>
                <w:rPr>
                  <w:color w:val="000000"/>
                  <w:vertAlign w:val="superscript"/>
                </w:rPr>
                <w:t xml:space="preserve">[36]</w:t>
              </w:r>
              <w:r>
                <w:t xml:space="preserve">    Section 197 (2) of the Criminal Code.</w:t>
              </w:r>
            </w:p>
            <w:p>
              <w:pPr>
                <w:pStyle w:val="BodyText"/>
              </w:pPr>
              <w:r>
                <w:rPr>
                  <w:color w:val="000000"/>
                  <w:vertAlign w:val="superscript"/>
                </w:rPr>
                <w:t xml:space="preserve">[37]</w:t>
              </w:r>
              <w:r>
                <w:t xml:space="preserve">    </w:t>
              </w:r>
              <w:r>
                <w:t xml:space="preserve">Section 198 (1) of the Criminal Code.</w:t>
              </w:r>
            </w:p>
            <w:p>
              <w:pPr>
                <w:pStyle w:val="BodyText"/>
              </w:pPr>
              <w:r>
                <w:rPr>
                  <w:color w:val="000000"/>
                  <w:vertAlign w:val="superscript"/>
                </w:rPr>
                <w:t xml:space="preserve">[38]</w:t>
              </w:r>
              <w:r>
                <w:t xml:space="preserve">    </w:t>
              </w:r>
              <w:r>
                <w:t xml:space="preserve">Section 198 (2) of the Criminal Code.</w:t>
              </w:r>
            </w:p>
            <w:p>
              <w:pPr>
                <w:pStyle w:val="BodyText"/>
              </w:pPr>
              <w:r>
                <w:rPr>
                  <w:color w:val="000000"/>
                  <w:vertAlign w:val="superscript"/>
                </w:rPr>
                <w:t xml:space="preserve">[39]</w:t>
              </w:r>
              <w:r>
                <w:t xml:space="preserve">    </w:t>
              </w:r>
              <w:r>
                <w:t xml:space="preserve">Section 198 (4) of the Criminal Code.</w:t>
              </w:r>
            </w:p>
            <w:p>
              <w:pPr>
                <w:pStyle w:val="BodyText"/>
              </w:pPr>
              <w:r>
                <w:rPr>
                  <w:color w:val="000000"/>
                  <w:vertAlign w:val="superscript"/>
                </w:rPr>
                <w:t xml:space="preserve">[40]</w:t>
              </w:r>
              <w:r>
                <w:t xml:space="preserve">    Sections 21 and 22 of the Criminal Code.</w:t>
              </w:r>
            </w:p>
            <w:p>
              <w:pPr>
                <w:pStyle w:val="BodyText"/>
              </w:pPr>
              <w:r>
                <w:rPr>
                  <w:color w:val="000000"/>
                  <w:vertAlign w:val="superscript"/>
                </w:rPr>
                <w:t xml:space="preserve">[41]</w:t>
              </w:r>
              <w:r>
                <w:t xml:space="preserve">    Sections 17 and 18 of the Criminal Code.</w:t>
              </w:r>
            </w:p>
            <w:p>
              <w:pPr>
                <w:pStyle w:val="BodyText"/>
              </w:pPr>
              <w:r>
                <w:rPr>
                  <w:color w:val="000000"/>
                  <w:vertAlign w:val="superscript"/>
                </w:rPr>
                <w:t xml:space="preserve">[42]</w:t>
              </w:r>
              <w:r>
                <w:t xml:space="preserve">    Section 168 of the Criminal Procedural Code.</w:t>
              </w:r>
            </w:p>
            <w:p>
              <w:pPr>
                <w:pStyle w:val="BodyText"/>
              </w:pPr>
              <w:r>
                <w:rPr>
                  <w:color w:val="000000"/>
                  <w:vertAlign w:val="superscript"/>
                </w:rPr>
                <w:t xml:space="preserve">[43]</w:t>
              </w:r>
              <w:r>
                <w:t xml:space="preserve">    Section 176 of the Criminal Procedural Code.</w:t>
              </w:r>
            </w:p>
            <w:p>
              <w:pPr>
                <w:pStyle w:val="BodyText"/>
              </w:pPr>
              <w:r>
                <w:rPr>
                  <w:color w:val="000000"/>
                  <w:vertAlign w:val="superscript"/>
                </w:rPr>
                <w:t xml:space="preserve">[44]</w:t>
              </w:r>
              <w:r>
                <w:t xml:space="preserve">    Section 169 of the Criminal Procedural Code.</w:t>
              </w:r>
            </w:p>
            <w:p>
              <w:pPr>
                <w:pStyle w:val="BodyText"/>
              </w:pPr>
              <w:r>
                <w:rPr>
                  <w:color w:val="000000"/>
                  <w:vertAlign w:val="superscript"/>
                </w:rPr>
                <w:t xml:space="preserve">[45]</w:t>
              </w:r>
              <w:r>
                <w:t xml:space="preserve">    Section 170 of the Criminal Procedural Code.</w:t>
              </w:r>
            </w:p>
            <w:p>
              <w:pPr>
                <w:pStyle w:val="BodyText"/>
              </w:pPr>
              <w:r>
                <w:rPr>
                  <w:color w:val="000000"/>
                  <w:vertAlign w:val="superscript"/>
                </w:rPr>
                <w:t xml:space="preserve">[46]</w:t>
              </w:r>
              <w:r>
                <w:t xml:space="preserve">    Sections 171 and 172 of the Criminal Procedural Code.</w:t>
              </w:r>
            </w:p>
            <w:p>
              <w:pPr>
                <w:pStyle w:val="BodyText"/>
              </w:pPr>
              <w:r>
                <w:rPr>
                  <w:color w:val="000000"/>
                  <w:vertAlign w:val="superscript"/>
                </w:rPr>
                <w:t xml:space="preserve">[47]</w:t>
              </w:r>
              <w:r>
                <w:t xml:space="preserve">    Section 173 of the Criminal Procedural Code.</w:t>
              </w:r>
            </w:p>
            <w:p>
              <w:pPr>
                <w:pStyle w:val="BodyText"/>
              </w:pPr>
              <w:r>
                <w:rPr>
                  <w:color w:val="000000"/>
                  <w:vertAlign w:val="superscript"/>
                </w:rPr>
                <w:t xml:space="preserve">[48]</w:t>
              </w:r>
              <w:r>
                <w:t xml:space="preserve">    Section 174 of the Criminal Procedural Code.</w:t>
              </w:r>
            </w:p>
            <w:p>
              <w:pPr>
                <w:pStyle w:val="BodyText"/>
              </w:pPr>
              <w:r>
                <w:rPr>
                  <w:color w:val="000000"/>
                  <w:vertAlign w:val="superscript"/>
                </w:rPr>
                <w:t xml:space="preserve">[49]</w:t>
              </w:r>
              <w:r>
                <w:t xml:space="preserve">    Section 168 of the Criminal Procedural Code.</w:t>
              </w:r>
            </w:p>
            <w:p>
              <w:pPr>
                <w:pStyle w:val="BodyText"/>
              </w:pPr>
              <w:r>
                <w:rPr>
                  <w:color w:val="000000"/>
                  <w:vertAlign w:val="superscript"/>
                </w:rPr>
                <w:t xml:space="preserve">[50]</w:t>
              </w:r>
              <w:r>
                <w:t xml:space="preserve">    Section 88 (2) of the Criminal Procedural Code.</w:t>
              </w:r>
            </w:p>
            <w:p>
              <w:pPr>
                <w:pStyle w:val="BodyText"/>
              </w:pPr>
              <w:r>
                <w:rPr>
                  <w:color w:val="000000"/>
                  <w:vertAlign w:val="superscript"/>
                </w:rPr>
                <w:t xml:space="preserve">[51]</w:t>
              </w:r>
              <w:r>
                <w:t xml:space="preserve">    Section 87 (3) of the Criminal Procedural Code.</w:t>
              </w:r>
            </w:p>
            <w:p>
              <w:pPr>
                <w:pStyle w:val="BodyText"/>
              </w:pPr>
              <w:r>
                <w:rPr>
                  <w:color w:val="000000"/>
                  <w:vertAlign w:val="superscript"/>
                </w:rPr>
                <w:t xml:space="preserve">[52]</w:t>
              </w:r>
              <w:r>
                <w:t xml:space="preserve">    Section 69 (4) of the Criminal Procedural Code.</w:t>
              </w:r>
            </w:p>
            <w:p>
              <w:pPr>
                <w:pStyle w:val="BodyText"/>
              </w:pPr>
              <w:r>
                <w:rPr>
                  <w:color w:val="000000"/>
                  <w:vertAlign w:val="superscript"/>
                </w:rPr>
                <w:t xml:space="preserve">[53]</w:t>
              </w:r>
              <w:r>
                <w:t xml:space="preserve">    Section 87 (2) of the Criminal Procedural Code.</w:t>
              </w:r>
            </w:p>
            <w:p>
              <w:pPr>
                <w:pStyle w:val="BodyText"/>
              </w:pPr>
              <w:r>
                <w:rPr>
                  <w:color w:val="000000"/>
                  <w:vertAlign w:val="superscript"/>
                </w:rPr>
                <w:t xml:space="preserve">[54]</w:t>
              </w:r>
              <w:r>
                <w:t xml:space="preserve">    Section 88 (1) of the Criminal Procedural Code.</w:t>
              </w:r>
            </w:p>
            <w:p>
              <w:pPr>
                <w:pStyle w:val="BodyText"/>
              </w:pPr>
              <w:r>
                <w:rPr>
                  <w:color w:val="000000"/>
                  <w:vertAlign w:val="superscript"/>
                </w:rPr>
                <w:t xml:space="preserve">[55]</w:t>
              </w:r>
              <w:r>
                <w:t xml:space="preserve">    Section 88 (3) of the Criminal Procedural Code.</w:t>
              </w:r>
            </w:p>
            <w:p>
              <w:pPr>
                <w:pStyle w:val="BodyText"/>
              </w:pPr>
              <w:r>
                <w:rPr>
                  <w:color w:val="000000"/>
                  <w:vertAlign w:val="superscript"/>
                </w:rPr>
                <w:t xml:space="preserve">[56]</w:t>
              </w:r>
              <w:r>
                <w:t xml:space="preserve">    Section 194 of the Criminal Code.</w:t>
              </w:r>
            </w:p>
            <w:p>
              <w:pPr>
                <w:pStyle w:val="BodyText"/>
              </w:pPr>
              <w:r>
                <w:rPr>
                  <w:color w:val="000000"/>
                  <w:vertAlign w:val="superscript"/>
                </w:rPr>
                <w:t xml:space="preserve">[57]</w:t>
              </w:r>
              <w:r>
                <w:t xml:space="preserve">    Section 197 of the Criminal Code.</w:t>
              </w:r>
            </w:p>
            <w:p>
              <w:pPr>
                <w:pStyle w:val="BodyText"/>
              </w:pPr>
              <w:r>
                <w:rPr>
                  <w:color w:val="000000"/>
                  <w:vertAlign w:val="superscript"/>
                </w:rPr>
                <w:t xml:space="preserve">[58]</w:t>
              </w:r>
              <w:r>
                <w:t xml:space="preserve">    Section 200 of the Criminal Code.</w:t>
              </w:r>
            </w:p>
            <w:p>
              <w:pPr>
                <w:pStyle w:val="BodyText"/>
              </w:pPr>
              <w:r>
                <w:rPr>
                  <w:color w:val="000000"/>
                  <w:vertAlign w:val="superscript"/>
                </w:rPr>
                <w:t xml:space="preserve">[59]</w:t>
              </w:r>
              <w:r>
                <w:t xml:space="preserve">    Section 160 of the Criminal Code.</w:t>
              </w:r>
            </w:p>
            <w:p>
              <w:pPr>
                <w:pStyle w:val="BodyText"/>
              </w:pPr>
              <w:r>
                <w:rPr>
                  <w:color w:val="000000"/>
                  <w:vertAlign w:val="superscript"/>
                </w:rPr>
                <w:t xml:space="preserve">[60]</w:t>
              </w:r>
              <w:r>
                <w:t xml:space="preserve">    Section 192 of the Criminal Code.</w:t>
              </w:r>
            </w:p>
            <w:p>
              <w:pPr>
                <w:pStyle w:val="BodyText"/>
              </w:pPr>
              <w:r>
                <w:rPr>
                  <w:color w:val="000000"/>
                  <w:vertAlign w:val="superscript"/>
                </w:rPr>
                <w:t xml:space="preserve">[61]</w:t>
              </w:r>
              <w:r>
                <w:t xml:space="preserve">    Section 190 of the Criminal Code.</w:t>
              </w:r>
            </w:p>
            <w:p>
              <w:pPr>
                <w:pStyle w:val="BodyText"/>
              </w:pPr>
              <w:r>
                <w:rPr>
                  <w:color w:val="000000"/>
                  <w:vertAlign w:val="superscript"/>
                </w:rPr>
                <w:t xml:space="preserve">[62]</w:t>
              </w:r>
              <w:r>
                <w:t xml:space="preserve">    Section 196 of the Criminal Code.</w:t>
              </w:r>
            </w:p>
            <w:p>
              <w:pPr>
                <w:pStyle w:val="BodyText"/>
              </w:pPr>
              <w:r>
                <w:rPr>
                  <w:color w:val="000000"/>
                  <w:vertAlign w:val="superscript"/>
                </w:rPr>
                <w:t xml:space="preserve">[63]</w:t>
              </w:r>
              <w:r>
                <w:t xml:space="preserve">    Section 52 (3) of the Criminal Code.</w:t>
              </w:r>
            </w:p>
            <w:p>
              <w:pPr>
                <w:pStyle w:val="BodyText"/>
              </w:pPr>
              <w:r>
                <w:rPr>
                  <w:color w:val="000000"/>
                  <w:vertAlign w:val="superscript"/>
                </w:rPr>
                <w:t xml:space="preserve">[64]</w:t>
              </w:r>
              <w:r>
                <w:t xml:space="preserve">    Point 11 of ORFK Instruction No. 2/2018. (I. 25.) on the Enforcement of Police Tasks with regard to Dealing with Domestic Violence.</w:t>
              </w:r>
            </w:p>
            <w:p>
              <w:pPr>
                <w:pStyle w:val="BodyText"/>
              </w:pPr>
              <w:r>
                <w:rPr>
                  <w:color w:val="000000"/>
                  <w:vertAlign w:val="superscript"/>
                </w:rPr>
                <w:t xml:space="preserve">[65]</w:t>
              </w:r>
              <w:r>
                <w:t xml:space="preserve">    Section 161 of the Criminal Code.</w:t>
              </w:r>
            </w:p>
            <w:p>
              <w:pPr>
                <w:pStyle w:val="BodyText"/>
              </w:pPr>
              <w:r>
                <w:rPr>
                  <w:color w:val="000000"/>
                  <w:vertAlign w:val="superscript"/>
                </w:rPr>
                <w:t xml:space="preserve">[66]</w:t>
              </w:r>
              <w:r>
                <w:t xml:space="preserve">    Commentary to Section 161 of the Criminal Code.</w:t>
              </w:r>
            </w:p>
            <w:p>
              <w:pPr>
                <w:pStyle w:val="BodyText"/>
              </w:pPr>
              <w:r>
                <w:rPr>
                  <w:color w:val="000000"/>
                  <w:vertAlign w:val="superscript"/>
                </w:rPr>
                <w:t xml:space="preserve">[67]</w:t>
              </w:r>
              <w:r>
                <w:t xml:space="preserve">    See the uniformity decision No. 3/2013 BJE.</w:t>
              </w:r>
            </w:p>
            <w:p>
              <w:pPr>
                <w:pStyle w:val="BodyText"/>
              </w:pPr>
              <w:r>
                <w:rPr>
                  <w:color w:val="000000"/>
                  <w:vertAlign w:val="superscript"/>
                </w:rPr>
                <w:t xml:space="preserve">[68]</w:t>
              </w:r>
              <w:r>
                <w:t xml:space="preserve">    See explanatory memorandum to Section 5 of the Civil Protection Act.</w:t>
              </w:r>
            </w:p>
            <w:p>
              <w:pPr>
                <w:pStyle w:val="BodyText"/>
              </w:pPr>
              <w:r>
                <w:rPr>
                  <w:color w:val="000000"/>
                  <w:vertAlign w:val="superscript"/>
                </w:rPr>
                <w:t xml:space="preserve">[69]</w:t>
              </w:r>
              <w:r>
                <w:t xml:space="preserve">    Sections 280 (2)-(3) of the Criminal Procedural Code.</w:t>
              </w:r>
            </w:p>
            <w:p>
              <w:pPr>
                <w:pStyle w:val="BodyText"/>
              </w:pPr>
              <w:pPr>
                <w:jc w:val="both"/>
              </w:pPr>
              <w:r>
                <w:rPr>
                  <w:color w:val="000000"/>
                  <w:vertAlign w:val="superscript"/>
                </w:rPr>
                <w:t xml:space="preserve">[70]</w:t>
              </w:r>
              <w:r>
                <w:t xml:space="preserve">    Section 55 (1) i) of Act I of 2012 on the Labor Code ("</w:t>
              </w:r>
              <w:r>
                <w:rPr>
                  <w:b/>
                </w:rPr>
                <w:t xml:space="preserve">Labor Code</w:t>
              </w:r>
              <w:r>
                <w:t xml:space="preserve">"). https://net.jogtar.hu/jogszabaly?docid=a1200001.tv.</w:t>
              </w:r>
            </w:p>
            <w:p>
              <w:pPr>
                <w:pStyle w:val="BodyText"/>
              </w:pPr>
              <w:r>
                <w:rPr>
                  <w:color w:val="000000"/>
                  <w:vertAlign w:val="superscript"/>
                </w:rPr>
                <w:t xml:space="preserve">[71]</w:t>
              </w:r>
              <w:r>
                <w:t xml:space="preserve">    Section 55 (1) j) of the Labor Code.</w:t>
              </w:r>
            </w:p>
            <w:p>
              <w:pPr>
                <w:pStyle w:val="BodyText"/>
              </w:pPr>
              <w:r>
                <w:rPr>
                  <w:color w:val="000000"/>
                  <w:vertAlign w:val="superscript"/>
                </w:rPr>
                <w:t xml:space="preserve">[72]</w:t>
              </w:r>
              <w:r>
                <w:t xml:space="preserve">    Section 55 (1) k) of the Labor Code.</w:t>
              </w:r>
            </w:p>
            <w:p>
              <w:pPr>
                <w:pStyle w:val="BodyText"/>
              </w:pPr>
              <w:r>
                <w:rPr>
                  <w:color w:val="000000"/>
                  <w:vertAlign w:val="superscript"/>
                </w:rPr>
                <w:t xml:space="preserve">[73]</w:t>
              </w:r>
              <w:r>
                <w:t xml:space="preserve">    Section 146 (2) of the Labor Code.</w:t>
              </w:r>
            </w:p>
            <w:p>
              <w:pPr>
                <w:pStyle w:val="BodyText"/>
              </w:pPr>
              <w:r>
                <w:rPr>
                  <w:color w:val="000000"/>
                  <w:vertAlign w:val="superscript"/>
                </w:rPr>
                <w:t xml:space="preserve">[74]</w:t>
              </w:r>
              <w:r>
                <w:t xml:space="preserve">    Commentary to Section 146 (2) of the Labor Code.</w:t>
              </w:r>
            </w:p>
            <w:p>
              <w:pPr>
                <w:pStyle w:val="BodyText"/>
              </w:pPr>
              <w:r>
                <w:rPr>
                  <w:color w:val="000000"/>
                  <w:vertAlign w:val="superscript"/>
                </w:rPr>
                <w:t xml:space="preserve">[75]</w:t>
              </w:r>
              <w:r>
                <w:t xml:space="preserve">    Section 1 (1) of the Victim Support Act.</w:t>
              </w:r>
            </w:p>
            <w:p>
              <w:pPr>
                <w:pStyle w:val="BodyText"/>
              </w:pPr>
              <w:r>
                <w:rPr>
                  <w:color w:val="000000"/>
                  <w:vertAlign w:val="superscript"/>
                </w:rPr>
                <w:t xml:space="preserve">[76]</w:t>
              </w:r>
              <w:r>
                <w:t xml:space="preserve">    Sections 2 (1) and 4 (1) of the Victim Support Act.</w:t>
              </w:r>
            </w:p>
            <w:p>
              <w:pPr>
                <w:pStyle w:val="BodyText"/>
              </w:pPr>
              <w:r>
                <w:rPr>
                  <w:color w:val="000000"/>
                  <w:vertAlign w:val="superscript"/>
                </w:rPr>
                <w:t xml:space="preserve">[77]</w:t>
              </w:r>
              <w:r>
                <w:t xml:space="preserve">    Sections 2 (2) and 7 (1) of the Victim Support Act.</w:t>
              </w:r>
            </w:p>
            <w:p>
              <w:pPr>
                <w:pStyle w:val="BodyText"/>
              </w:pPr>
              <w:r>
                <w:rPr>
                  <w:color w:val="000000"/>
                  <w:vertAlign w:val="superscript"/>
                </w:rPr>
                <w:t xml:space="preserve">[78]</w:t>
              </w:r>
              <w:r>
                <w:t xml:space="preserve">    </w:t>
              </w:r>
              <w:r>
                <w:t xml:space="preserve">Sections 11 (1), (2) c) and 3 of Act I of 2007 on the Admission and Residence of Persons with the Right of Free Movement and Residence, https://net.jogtar.hu/jogszabaly?docid=a0700001.tv.</w:t>
              </w:r>
            </w:p>
            <w:p>
              <w:pPr>
                <w:pStyle w:val="BodyText"/>
              </w:pPr>
              <w:r>
                <w:rPr>
                  <w:color w:val="000000"/>
                  <w:vertAlign w:val="superscript"/>
                </w:rPr>
                <w:t xml:space="preserve">[79]</w:t>
              </w:r>
              <w:r>
                <w:t xml:space="preserve">    Sections 4:149 and 4:167 (2) of the Civil Code.</w:t>
              </w:r>
            </w:p>
            <w:p>
              <w:pPr>
                <w:pStyle w:val="BodyText"/>
              </w:pPr>
              <w:r>
                <w:rPr>
                  <w:color w:val="000000"/>
                  <w:vertAlign w:val="superscript"/>
                </w:rPr>
                <w:t xml:space="preserve">[80]</w:t>
              </w:r>
              <w:r>
                <w:t xml:space="preserve">    Section 4:168 (2) of the Civil Code.</w:t>
              </w:r>
            </w:p>
            <w:p>
              <w:pPr>
                <w:pStyle w:val="BodyText"/>
              </w:pPr>
              <w:r>
                <w:rPr>
                  <w:color w:val="000000"/>
                  <w:vertAlign w:val="superscript"/>
                </w:rPr>
                <w:t xml:space="preserve">[81]</w:t>
              </w:r>
              <w:r>
                <w:t xml:space="preserve">    Sections 4:170 (1) and 4:171 of the Civil Code.</w:t>
              </w:r>
            </w:p>
            <w:p>
              <w:pPr>
                <w:pStyle w:val="BodyText"/>
              </w:pPr>
              <w:r>
                <w:rPr>
                  <w:color w:val="000000"/>
                  <w:vertAlign w:val="superscript"/>
                </w:rPr>
                <w:t xml:space="preserve">[82]</w:t>
              </w:r>
              <w:r>
                <w:t xml:space="preserve">    Sections 4:186 (1) i) and (2) of the Civil Code.</w:t>
              </w:r>
            </w:p>
            <w:p>
              <w:pPr>
                <w:pStyle w:val="BodyText"/>
              </w:pPr>
              <w:r>
                <w:rPr>
                  <w:color w:val="000000"/>
                  <w:vertAlign w:val="superscript"/>
                </w:rPr>
                <w:t xml:space="preserve">[83]</w:t>
              </w:r>
              <w:r>
                <w:t xml:space="preserve">    Section 4:178 (3) of the Civil Code.</w:t>
              </w:r>
            </w:p>
            <w:p>
              <w:pPr>
                <w:pStyle w:val="BodyText"/>
              </w:pPr>
              <w:r>
                <w:rPr>
                  <w:color w:val="000000"/>
                  <w:vertAlign w:val="superscript"/>
                </w:rPr>
                <w:t xml:space="preserve">[84]</w:t>
              </w:r>
              <w:r>
                <w:t xml:space="preserve">    Section 4:191 of the Civil Code.</w:t>
              </w:r>
            </w:p>
            <w:p>
              <w:pPr>
                <w:pStyle w:val="BodyText"/>
              </w:pPr>
              <w:r>
                <w:rPr>
                  <w:color w:val="000000"/>
                  <w:vertAlign w:val="superscript"/>
                </w:rPr>
                <w:t xml:space="preserve">[85]</w:t>
              </w:r>
              <w:r>
                <w:t xml:space="preserve">    Section 485 of the Civil Procedural Code.</w:t>
              </w:r>
            </w:p>
            <w:p>
              <w:pPr>
                <w:pStyle w:val="BodyText"/>
              </w:pPr>
              <w:r>
                <w:rPr>
                  <w:color w:val="000000"/>
                  <w:vertAlign w:val="superscript"/>
                </w:rPr>
                <w:t xml:space="preserve">[86]</w:t>
              </w:r>
              <w:r>
                <w:t xml:space="preserve">    Sections 4:190 (3) and Section 4:190 (4) of the Civil Code.</w:t>
              </w:r>
            </w:p>
            <w:p>
              <w:pPr>
                <w:pStyle w:val="BodyText"/>
              </w:pPr>
              <w:r>
                <w:rPr>
                  <w:color w:val="000000"/>
                  <w:vertAlign w:val="superscript"/>
                </w:rPr>
                <w:t xml:space="preserve">[87]</w:t>
              </w:r>
              <w:r>
                <w:t xml:space="preserve">    Sections 4:181 (1) and (2) of the Civil Code.</w:t>
              </w:r>
            </w:p>
            <w:p>
              <w:pPr>
                <w:pStyle w:val="BodyText"/>
              </w:pPr>
              <w:r>
                <w:rPr>
                  <w:color w:val="000000"/>
                  <w:vertAlign w:val="superscript"/>
                </w:rPr>
                <w:t xml:space="preserve">[88]</w:t>
              </w:r>
              <w:r>
                <w:t xml:space="preserve">    Section 4:184 of the Civil Code.</w:t>
              </w:r>
            </w:p>
            <w:p>
              <w:pPr>
                <w:pStyle w:val="BodyText"/>
              </w:pPr>
              <w:r>
                <w:rPr>
                  <w:color w:val="000000"/>
                  <w:vertAlign w:val="superscript"/>
                </w:rPr>
                <w:t xml:space="preserve">[89]</w:t>
              </w:r>
              <w:r>
                <w:t xml:space="preserve">    Section 181 of Act LIII of 1994 on Judicial Enforcement.</w:t>
              </w:r>
            </w:p>
            <w:p>
              <w:pPr>
                <w:pStyle w:val="BodyText"/>
              </w:pPr>
              <w:r>
                <w:rPr>
                  <w:vertAlign w:val="superscript"/>
                </w:rPr>
                <w:t xml:space="preserve">[90]</w:t>
              </w:r>
              <w:r>
                <w:t xml:space="preserve">    </w:t>
              </w:r>
              <w:r>
                <w:t xml:space="preserve">Section 4:77 (3) of the Civil Code</w:t>
              </w:r>
              <w:r>
                <w:t xml:space="preserve">.</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herke.hu/tan/18lima.pdf" TargetMode="External" Id="Rd0ed59b64e9441bc" /><Relationship Type="http://schemas.openxmlformats.org/officeDocument/2006/relationships/hyperlink" Target="http://njt.hu/translated/doc/TheFundamentalLawofHungary_20191213_FIN.pdf" TargetMode="External" Id="Ra65d79d1b5154f9f" /><Relationship Type="http://schemas.openxmlformats.org/officeDocument/2006/relationships/hyperlink" Target="https://net.jogtar.hu/jogszabaly?docid=a0900072.tv" TargetMode="External" Id="Rf4b3eac665e640b6" /><Relationship Type="http://schemas.openxmlformats.org/officeDocument/2006/relationships/hyperlink" Target="https://net.jogtar.hu/jogszabaly?docid=a0900072.tv" TargetMode="External" Id="Re12f5de0c2b64049" /><Relationship Type="http://schemas.openxmlformats.org/officeDocument/2006/relationships/hyperlink" Target="https://net.jogtar.hu/jogszabaly?docid=99700031.tv" TargetMode="External" Id="Rb5c15a87f0c848ab" /><Relationship Type="http://schemas.openxmlformats.org/officeDocument/2006/relationships/hyperlink" Target="https://net.jogtar.hu/jogszabaly?docid=99300003.tv" TargetMode="External" Id="R2e37c6e50b2a487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