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England and Wales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civil proceedings before the courts in England and Wales, "disclosure" is the stage in the proceedings when the parties to an action are required to inform each other of the existence of all documents that are or have been in their control and that are relevant to matters in issue in the litigation. The Civil Procedure Rules (which apply to most civil proceedings in England and Wales) refer to this process as "disclosure", although, historically, it was known as "discovery".</w:t>
                  </w:r>
                </w:p>
                <w:p>
                  <w:pPr>
                    <w:pStyle w:val="BodyText"/>
                  </w:pPr>
                  <w:r>
                    <w:t xml:space="preserve">Not all proceedings will involve disclosure; the rules differ depending on the type of case and what division of the court it is brought in. There is no provision under the Civil Procedure Rules for automatic disclosure, and the duty to disclose only arises if and when and to the extent that the court orders disclosure.</w:t>
                  </w:r>
                </w:p>
                <w:p>
                  <w:pPr>
                    <w:pStyle w:val="BodyText"/>
                  </w:pPr>
                  <w:r>
                    <w:t xml:space="preserve">At present, there are two main sets of rules governing disclosure. The first commonly involves an order for "standard disclosure," and this is an order pursuant to Civil Procedure Rule 31 requiring parties to disclose the following:</w:t>
                  </w:r>
                </w:p>
                <w:p>
                  <w:pPr>
                    <w:pStyle w:val="BodyText"/>
                  </w:pPr>
                  <w:pPr>
                    <w:pStyle w:val="ListParagraph"/>
                    <w:numPr>
                      <w:ilvl w:val="0"/>
                      <w:numId w:val="12"/>
                    </w:numPr>
                  </w:pPr>
                  <w:r>
                    <w:t xml:space="preserve">Documents on which they rely</w:t>
                  </w:r>
                </w:p>
                <w:p>
                  <w:pPr>
                    <w:pStyle w:val="BodyText"/>
                  </w:pPr>
                  <w:pPr>
                    <w:pStyle w:val="ListParagraph"/>
                    <w:numPr>
                      <w:ilvl w:val="0"/>
                      <w:numId w:val="12"/>
                    </w:numPr>
                  </w:pPr>
                  <w:r>
                    <w:t xml:space="preserve">Documents which adversely affect their case</w:t>
                  </w:r>
                </w:p>
                <w:p>
                  <w:pPr>
                    <w:pStyle w:val="BodyText"/>
                  </w:pPr>
                  <w:pPr>
                    <w:pStyle w:val="ListParagraph"/>
                    <w:numPr>
                      <w:ilvl w:val="0"/>
                      <w:numId w:val="12"/>
                    </w:numPr>
                  </w:pPr>
                  <w:r>
                    <w:t xml:space="preserve">Documents which adversely affect another party's case</w:t>
                  </w:r>
                </w:p>
                <w:p>
                  <w:pPr>
                    <w:pStyle w:val="BodyText"/>
                  </w:pPr>
                  <w:pPr>
                    <w:pStyle w:val="ListParagraph"/>
                    <w:numPr>
                      <w:ilvl w:val="0"/>
                      <w:numId w:val="12"/>
                    </w:numPr>
                  </w:pPr>
                  <w:r>
                    <w:t xml:space="preserve">Documents which support another party's case</w:t>
                  </w:r>
                </w:p>
                <w:p>
                  <w:pPr>
                    <w:pStyle w:val="BodyText"/>
                  </w:pPr>
                  <w:r>
                    <w:t xml:space="preserve">The second set of rules operate in the Business and Property Courts under Practice Direction 57AD ("</w:t>
                  </w:r>
                  <w:r>
                    <w:rPr>
                      <w:b/>
                    </w:rPr>
                    <w:t xml:space="preserve">PD 57AD</w:t>
                  </w:r>
                  <w:r>
                    <w:t xml:space="preserve">"). PD 57AD was introduced to promote a culture change and a move away from standard disclosure, focusing instead on different "models" of disclosure, aligned to each issue in the case that requires disclosure. The models vary, ranging from very limited disclosure (of known adverse documents only) to search-based disclosure.</w:t>
                  </w:r>
                </w:p>
                <w:p>
                  <w:pPr>
                    <w:pStyle w:val="BodyText"/>
                  </w:pPr>
                  <w:r>
                    <w:t xml:space="preserve">In either case, the Civil Procedure Rules are clear that disclosure should be restricted to what is necessary and proportionate in the individual case. The court retains discretion to dispense with or limit disclosure. The courts may be minded to exercise their discretion where the disclosure sought would be unduly expensive, inconvenient or troublesome in comparison to the likely forensic benefits. An overall important factor is proportionality.</w:t>
                  </w:r>
                </w:p>
                <w:p>
                  <w:pPr>
                    <w:pStyle w:val="BodyText"/>
                  </w:pPr>
                  <w:r>
                    <w:t xml:space="preserve">The fact that a document has been disclosed does not necessarily mean that it may be inspected. As noted above, disclosure simply means stating that a document exists or has existed. While parties have a right to inspect documents that have been disclosed, this is not an unfettered right, and there are exceptions that permit parties to withhold documents from inspection. Legal professional privilege is one such exception. Under PD 57AD, inspection of disclosed documents is presumed; however, it is still possible to withhold the production of certain documents, including on the grounds of privilege.</w:t>
                  </w:r>
                </w:p>
                <w:p>
                  <w:pPr>
                    <w:pStyle w:val="BodyText"/>
                  </w:pPr>
                  <w:r>
                    <w:t xml:space="preserve">Although disclosure between parties to proceedings is discussed here, it should be noted that non-parties to proceedings can also be subject to disclosure orders by the courts. However, the Civil Procedure Rules note that ordering disclosure against non-parties is the exception rather than the rule and that the jurisdiction should be exercised with caution.</w:t>
                  </w:r>
                </w:p>
                <w:p>
                  <w:pPr>
                    <w:pStyle w:val="BodyText"/>
                  </w:pPr>
                  <w:r>
                    <w:t xml:space="preserve">Finally, even where a document has been disclosed as part of litigation proceedings and inspected by a party, the use of that document is strictly limited to those proceedings only. The document cannot then be deployed in other proceedings without either the consent of the party whose document it is, or the permission of the court. It is also possible for the court to order that disclosure in the proceedings takes place to a limited group of people under a "confidentiality club". There may be varying levels within this, for example, "lawyers' eyes only", or (in the case of a multiparty dispute) certain parties to the litigation and not others.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concept of legal professional privilege is "a fundamental human right, long established in the common law,"</w:t>
                  </w:r>
                  <w:r>
                    <w:rPr>
                      <w:vertAlign w:val="superscript"/>
                    </w:rPr>
                    <w:t xml:space="preserve">1</w:t>
                  </w:r>
                  <w:r>
                    <w:t xml:space="preserve"> "fundamental to the administration of justice"</w:t>
                  </w:r>
                  <w:r>
                    <w:rPr>
                      <w:vertAlign w:val="superscript"/>
                    </w:rPr>
                    <w:t xml:space="preserve">2</w:t>
                  </w:r>
                  <w:r>
                    <w:t xml:space="preserve"> and "jealously guarded by the common law."</w:t>
                  </w:r>
                  <w:r>
                    <w:rPr>
                      <w:vertAlign w:val="superscript"/>
                    </w:rPr>
                    <w:t xml:space="preserve">3</w:t>
                  </w:r>
                  <w:r>
                    <w:t xml:space="preserve"> Legal professional privilege over documents can be waived by the person entitled to it and can be overridden by statute, but it is otherwise absolute unless the document concerned was prepared for, or in connection with, an iniquitous purpose (e.g., in the furtherance of fraud or a crime).</w:t>
                  </w:r>
                </w:p>
                <w:p>
                  <w:pPr>
                    <w:pStyle w:val="BodyText"/>
                  </w:pPr>
                  <w:r>
                    <w:t xml:space="preserve">If a document is covered by legal professional privilege, it entitles the party claiming privilege to withhold production from those seeking to inspect it. That is so even where the party seeking inspection is a governmental or regulatory body. If the assertion of legal professional privilege is challenged, the onus is on the party claiming privilege to establish it.</w:t>
                  </w:r>
                </w:p>
                <w:p>
                  <w:pPr>
                    <w:pStyle w:val="BodyText"/>
                  </w:pPr>
                  <w:r>
                    <w:t xml:space="preserve">When assessing whether a claim to legal professional privilege exists in respect of specific documents, it should be noted that an email and attachment are not treated as "one communication." In </w:t>
                  </w:r>
                  <w:r>
                    <w:rPr>
                      <w:i/>
                    </w:rPr>
                    <w:t xml:space="preserve">Sports Direct International Plc v. The Financial Reporting Council</w:t>
                  </w:r>
                  <w:r>
                    <w:t xml:space="preserve"> [2020] EWCA Civ 177, the Court of Appeal confirmed that an email and its attachment need to be considered separately for the purposes of privilege. It is possible for a legally privileged email to contain a non-privileged attachment. Merely attaching a document to a legally privileged email does not make the document privileged. However, the collation of select documents for the purpose of instructing counsel in the context of litigation may be privileged, as the specific selection of documents could give a clue as to the advice being given.</w:t>
                  </w:r>
                </w:p>
                <w:p>
                  <w:pPr>
                    <w:pStyle w:val="BodyText"/>
                  </w:pPr>
                  <w:r>
                    <w:rPr>
                      <w:b/>
                    </w:rPr>
                    <w:t xml:space="preserve">The different types of legal professional privilege</w:t>
                  </w:r>
                </w:p>
                <w:p>
                  <w:pPr>
                    <w:pStyle w:val="BodyText"/>
                  </w:pPr>
                  <w:r>
                    <w:rPr>
                      <w:b/>
                    </w:rPr>
                    <w:t xml:space="preserve">Legal</w:t>
                  </w:r>
                  <w:r>
                    <w:rPr>
                      <w:b/>
                    </w:rPr>
                    <w:t xml:space="preserve"> advice privilege</w:t>
                  </w:r>
                  <w:r>
                    <w:t xml:space="preserve"> covers confidential communications between lawyers (acting in their professional capacity) and clients for the dominant purpose of giving or obtaining legal advice.</w:t>
                  </w:r>
                  <w:r>
                    <w:rPr>
                      <w:vertAlign w:val="superscript"/>
                    </w:rPr>
                    <w:t xml:space="preserve">4</w:t>
                  </w:r>
                  <w:r>
                    <w:t xml:space="preserve"> It does not matter whether the advice sought relates to contentious or noncontentious matters, though if the communication focuses on commercial (as opposed to legal) matters, it is unlikely to satisfy the dominant purpose requirement. Legal advice privilege applies to all material forming part of the continuum of lawyer-client communications even if those documents do not expressly seek or convey legal advice, provided that they are part of a necessary exchange of information of which the object is giving legal advice as and when appropriate. Legal advice privilege also extends to what should "prudently and sensibly be done in the relevant legal context."</w:t>
                  </w:r>
                  <w:r>
                    <w:rPr>
                      <w:vertAlign w:val="superscript"/>
                    </w:rPr>
                    <w:t xml:space="preserve">5</w:t>
                  </w:r>
                </w:p>
                <w:p>
                  <w:pPr>
                    <w:pStyle w:val="BodyText"/>
                  </w:pPr>
                  <w:r>
                    <w:rPr>
                      <w:b/>
                    </w:rPr>
                    <w:t xml:space="preserve">Litigation privilege</w:t>
                  </w:r>
                  <w:r>
                    <w:t xml:space="preserve"> covers confidential communications between clients and their lawyers, or between either of them and a third party, for the purpose of obtaining information or advice in connection with existing or reasonably contemplated litigation, provided that the following conditions are satisfied:</w:t>
                  </w:r>
                </w:p>
                <w:p>
                  <w:pPr>
                    <w:pStyle w:val="BodyText"/>
                  </w:pPr>
                  <w:pPr>
                    <w:pStyle w:val="ListParagraph"/>
                    <w:numPr>
                      <w:ilvl w:val="0"/>
                      <w:numId w:val="11"/>
                    </w:numPr>
                  </w:pPr>
                  <w:r>
                    <w:t xml:space="preserve">Litigation is in progress or reasonably in contemplation.</w:t>
                  </w:r>
                </w:p>
                <w:p>
                  <w:pPr>
                    <w:pStyle w:val="BodyText"/>
                  </w:pPr>
                  <w:pPr>
                    <w:pStyle w:val="ListParagraph"/>
                    <w:numPr>
                      <w:ilvl w:val="0"/>
                      <w:numId w:val="11"/>
                    </w:numPr>
                  </w:pPr>
                  <w:r>
                    <w:t xml:space="preserve">Such communications are made with the sole or dominant purpose of conducting that litigation.</w:t>
                  </w:r>
                </w:p>
                <w:p>
                  <w:pPr>
                    <w:pStyle w:val="BodyText"/>
                  </w:pPr>
                  <w:pPr>
                    <w:pStyle w:val="ListParagraph"/>
                    <w:numPr>
                      <w:ilvl w:val="0"/>
                      <w:numId w:val="11"/>
                    </w:numPr>
                  </w:pPr>
                  <w:r>
                    <w:t xml:space="preserve">The litigation must be adversarial, not investigative or inquisitorial.</w:t>
                  </w:r>
                </w:p>
                <w:p>
                  <w:pPr>
                    <w:pStyle w:val="BodyText"/>
                  </w:pPr>
                  <w:r>
                    <w:t xml:space="preserve">Reasonably in contemplation or prospect does not mean that the prospect of litigation has to be greater than 50%, but it must be more than a mere possibility. Where a litigation hold notice is sent, this is likely to be good, but not conclusive, evidence that litigation is in reasonable prospect.</w:t>
                  </w:r>
                </w:p>
                <w:p>
                  <w:pPr>
                    <w:pStyle w:val="BodyText"/>
                  </w:pPr>
                  <w:r>
                    <w:t xml:space="preserve">While the concept of conducting litigation is reasonably broad, litigation privilege will not extend to cover otherwise non-privileged communications just because they are relevant to the litigation. In </w:t>
                  </w:r>
                  <w:r>
                    <w:rPr>
                      <w:i/>
                    </w:rPr>
                    <w:t xml:space="preserve">Noel Anthony Clarke v. Guardian News &amp; Media Ltd</w:t>
                  </w:r>
                  <w:r>
                    <w:t xml:space="preserve"> [2025] EWHC 550 (KB), a claim to litigation privilege failed in respect of a transcript of a non-privileged audio call. The fact that the transcript was prepared for use in the litigation did not change the fact that the conversation was not privileged (and, as such, the transcript could not be privileged).</w:t>
                  </w:r>
                </w:p>
                <w:p>
                  <w:pPr>
                    <w:pStyle w:val="BodyText"/>
                  </w:pPr>
                  <w:r>
                    <w:t xml:space="preserve">Litigation privilege can extend to documents that are concerned with settling litigation; however, purely commercial discussions regarding settlement will not be privileged. In </w:t>
                  </w:r>
                  <w:r>
                    <w:rPr>
                      <w:i/>
                    </w:rPr>
                    <w:t xml:space="preserve">WH Holdings Ltd v. E20 Stadium LLP </w:t>
                  </w:r>
                  <w:r>
                    <w:t xml:space="preserve">[2018] EWCA Civ 2652, litigation privilege was claimed over emails between company board members (and between board members and stakeholders) on the ground that the emails were created for the dominant purpose of discussing a commercial settlement of a dispute when litigation was in contemplation. The Court of Appeal held that a claim in those terms does not fall within the scope of litigation privilege on the basis that litigation privilege does not extend to purely commercial discussions.</w:t>
                  </w:r>
                </w:p>
                <w:p>
                  <w:pPr>
                    <w:pStyle w:val="BodyText"/>
                  </w:pPr>
                  <w:r>
                    <w:t xml:space="preserve">In a judgment relating to </w:t>
                  </w:r>
                  <w:r>
                    <w:rPr>
                      <w:i/>
                    </w:rPr>
                    <w:t xml:space="preserve">The RBS Rights Issue Litigation </w:t>
                  </w:r>
                  <w:r>
                    <w:t xml:space="preserve">and concerning privilege, Mr. Justice Hildyard explained the different types of legal professional privilege as follows:</w:t>
                  </w:r>
                </w:p>
                <w:p>
                  <w:pPr>
                    <w:pStyle w:val="BodyText"/>
                  </w:pPr>
                  <w:pPr>
                    <w:ind w:left="360"/>
                  </w:pPr>
                  <w:r>
                    <w:t xml:space="preserve">"Put shortly, litigation privilege protects the assembly and content of evidence for the purpose of the litigation and thus focuses on the purpose for which the documentation has been obtained or assembled; whereas legal advice privilege applies only to the confidential communications between a party and his legal advisers for the purposes of enabling that party to obtain informed and professional legal advice, and thus is confined to confidential communications within that relationship and for the purpose of its fulfilment."</w:t>
                  </w:r>
                </w:p>
                <w:p>
                  <w:pPr>
                    <w:pStyle w:val="BodyText"/>
                  </w:pPr>
                  <w:r>
                    <w:rPr>
                      <w:b/>
                    </w:rPr>
                    <w:t xml:space="preserve">Who is the client?</w:t>
                  </w:r>
                </w:p>
                <w:p>
                  <w:pPr>
                    <w:pStyle w:val="BodyText"/>
                  </w:pPr>
                  <w:r>
                    <w:t xml:space="preserve">The </w:t>
                  </w:r>
                  <w:r>
                    <w:rPr>
                      <w:i/>
                    </w:rPr>
                    <w:t xml:space="preserve">Three Rivers </w:t>
                  </w:r>
                  <w:r>
                    <w:t xml:space="preserve">cases (</w:t>
                  </w:r>
                  <w:r>
                    <w:rPr>
                      <w:i/>
                    </w:rPr>
                    <w:t xml:space="preserve">Three Rivers No. 5</w:t>
                  </w:r>
                  <w:r>
                    <w:t xml:space="preserve"> and </w:t>
                  </w:r>
                  <w:r>
                    <w:rPr>
                      <w:i/>
                    </w:rPr>
                    <w:t xml:space="preserve">Three Rivers No. 6</w:t>
                  </w:r>
                  <w:r>
                    <w:t xml:space="preserve">) remain important authorities on legal advice privilege and litigation privilege, respectively.</w:t>
                  </w:r>
                  <w:r>
                    <w:rPr>
                      <w:vertAlign w:val="superscript"/>
                    </w:rPr>
                    <w:t xml:space="preserve">6</w:t>
                  </w:r>
                </w:p>
                <w:p>
                  <w:pPr>
                    <w:pStyle w:val="BodyText"/>
                  </w:pPr>
                  <w:r>
                    <w:t xml:space="preserve">The </w:t>
                  </w:r>
                  <w:r>
                    <w:rPr>
                      <w:i/>
                    </w:rPr>
                    <w:t xml:space="preserve">Three Rivers (No. 5)</w:t>
                  </w:r>
                  <w:r>
                    <w:t xml:space="preserve"> case confirmed that legal advice privilege only applies to communications between a client and its legal advisers, to documents evidencing such communications and to documents that were intended to be such communications even if not in fact communicated. The judgment concluded that legal advice privilege only applies to communications between the lawyer and those individuals who are authorized to obtain legal advice on an entity's behalf (these individuals make up the "client" for the privilege analysis). The court found that legal advice privilege does not extend to documents obtained from third parties to be shown to a solicitor for advice. The court further rejected the notion that communications from employees (not within the "client" group) are different and stated that information gathered from an employee (not within the "client" group) stands in the same position as information from an independent agent, even if the information is collected by or in order to be shown to a solicitor to enable fully formed advice to be given to the client corporate entity.</w:t>
                  </w:r>
                </w:p>
                <w:p>
                  <w:pPr>
                    <w:pStyle w:val="BodyText"/>
                  </w:pPr>
                  <w:r>
                    <w:t xml:space="preserve">The decision in </w:t>
                  </w:r>
                  <w:r>
                    <w:rPr>
                      <w:i/>
                    </w:rPr>
                    <w:t xml:space="preserve">Three Rivers (No. 5)</w:t>
                  </w:r>
                  <w:r>
                    <w:t xml:space="preserve"> has been the subject of criticism and debate, principally concerning the fact that the decision provides a narrow view of "client" for the purposes of legal advice privilege, which means that communications between an employee of a corporation and the corporation's lawyers are not privileged unless that employee was authorized to seek and receive such advice on behalf of the corporation. In practice, this is likely to be senior employees and not necessarily those with the relevant factual knowledge relating to the issue in question upon which advice is to be sought. In </w:t>
                  </w:r>
                  <w:r>
                    <w:rPr>
                      <w:i/>
                    </w:rPr>
                    <w:t xml:space="preserve">The Director of the Serious Fraud Office v. Eurasian Natural Resources Corporation Ltd</w:t>
                  </w:r>
                  <w:r>
                    <w:t xml:space="preserve"> [2018] EWCA Civ 2006, the Court of Appeal was clear that, if the ambit of </w:t>
                  </w:r>
                  <w:r>
                    <w:rPr>
                      <w:i/>
                    </w:rPr>
                    <w:t xml:space="preserve">Three Rivers (No. 5) </w:t>
                  </w:r>
                  <w:r>
                    <w:t xml:space="preserve">is to be decided differently, that decision will need to come from the Supreme Court. Notwithstanding this, the court went on to express the view that there was much force in the arguments put before it that the decision in </w:t>
                  </w:r>
                  <w:r>
                    <w:rPr>
                      <w:i/>
                    </w:rPr>
                    <w:t xml:space="preserve">Three Rivers (No. 5) </w:t>
                  </w:r>
                  <w:r>
                    <w:t xml:space="preserve">was wrong and that, if it had been open to them to depart from that decision, it would have been in favor of doing so. One of the Court of Appeal's observations was that the decision in </w:t>
                  </w:r>
                  <w:r>
                    <w:rPr>
                      <w:i/>
                    </w:rPr>
                    <w:t xml:space="preserve">Three Rivers (No. 5)</w:t>
                  </w:r>
                  <w:r>
                    <w:t xml:space="preserve">, as interpreted by the English courts, puts English law at odds with the international common law on the question of communications with employees. For example, in Hong Kong, where the "client" is a corporation, the corporation is the "client" for the purpose of legal professional privilege and its general employees (including in-house counsel) can be regarded as being authorized to act for the corporation in the process of obtaining legal advice or in connection with actual, pending or contemplated litigation.</w:t>
                  </w:r>
                </w:p>
                <w:p>
                  <w:pPr>
                    <w:pStyle w:val="BodyText"/>
                  </w:pPr>
                  <w:r>
                    <w:t xml:space="preserve">In a more recent judgment, the Court of Appeal again noted the considerable criticism from the judiciary and leading commentators with respect to the </w:t>
                  </w:r>
                  <w:r>
                    <w:rPr>
                      <w:i/>
                    </w:rPr>
                    <w:t xml:space="preserve">Three Rivers (No. 5)</w:t>
                  </w:r>
                  <w:r>
                    <w:t xml:space="preserve"> judgment on this point.</w:t>
                  </w:r>
                  <w:r>
                    <w:rPr>
                      <w:vertAlign w:val="superscript"/>
                    </w:rPr>
                    <w:t xml:space="preserve">7</w:t>
                  </w:r>
                  <w:r>
                    <w:t xml:space="preserve"> However, until such time as the Supreme Court has an opportunity to reconsider legal advice privilege and the decision in </w:t>
                  </w:r>
                  <w:r>
                    <w:rPr>
                      <w:i/>
                    </w:rPr>
                    <w:t xml:space="preserve">Three Rivers (No. 5)</w:t>
                  </w:r>
                  <w:r>
                    <w:t xml:space="preserve">, "the client," for the purposes of legal advice privilege, refers to those individuals who are authorized to communicate with their legal advisers for the purpose of seeking and obtaining legal advice. Merely being authorized to communicate facts to a lawyer does not mean that individual is part of the confidential client-lawyer relationship for the purposes of legal advice privilege.</w:t>
                  </w:r>
                </w:p>
                <w:p>
                  <w:pPr>
                    <w:pStyle w:val="BodyText"/>
                  </w:pPr>
                  <w:r>
                    <w:t xml:space="preserve">As is clear from the discussion above, the question of "who is the client" for the purposes of legal advice privilege is very different to the question of "who is the client" in terms of the entity to which a law firm owes professional duties. In practice, it may be helpful to define who falls within "the client" and establish clear lines of communications with those individuals at the outset, though the "client" team can change over time.</w:t>
                  </w:r>
                </w:p>
                <w:p>
                  <w:pPr>
                    <w:pStyle w:val="BodyText"/>
                  </w:pPr>
                  <w:r>
                    <w:t xml:space="preserve">Given the broader scope of litigation privilege (which extends to communications with third parties), in </w:t>
                  </w:r>
                  <w:r>
                    <w:rPr>
                      <w:i/>
                    </w:rPr>
                    <w:t xml:space="preserve">Al Sadeq v. Dechert LLP</w:t>
                  </w:r>
                  <w:r>
                    <w:t xml:space="preserve"> [2024] EWCA Civ 28, the Court of Appeal confirmed that the narrow definition of client from </w:t>
                  </w:r>
                  <w:r>
                    <w:rPr>
                      <w:i/>
                    </w:rPr>
                    <w:t xml:space="preserve">Three Rivers (No. 5)</w:t>
                  </w:r>
                  <w:r>
                    <w:t xml:space="preserve"> does not apply to litigation privilege.</w:t>
                  </w:r>
                </w:p>
                <w:p>
                  <w:pPr>
                    <w:pStyle w:val="BodyText"/>
                  </w:pPr>
                  <w:pPr>
                    <w:pBdr>
                      <w:top w:val="single" w:sz="4"/>
                    </w:pBdr>
                  </w:pPr>
                  <w:r/>
                </w:p>
                <w:p>
                  <w:pPr>
                    <w:pStyle w:val="BodyText"/>
                  </w:pPr>
                  <w:r>
                    <w:rPr>
                      <w:sz w:val="14"/>
                    </w:rPr>
                    <w:t xml:space="preserve">[1] Often quoted Lord Hoffman comments in </w:t>
                  </w:r>
                  <w:r>
                    <w:rPr>
                      <w:i/>
                      <w:sz w:val="14"/>
                    </w:rPr>
                    <w:t xml:space="preserve">R (Morgan Grenfell Ltd.) v. Special Commissioner for Income Tax </w:t>
                  </w:r>
                  <w:r>
                    <w:rPr>
                      <w:sz w:val="14"/>
                    </w:rPr>
                    <w:t xml:space="preserve">[2003] 1 A.C. 563 (paragraph 7).</w:t>
                  </w:r>
                </w:p>
                <w:p>
                  <w:pPr>
                    <w:pStyle w:val="BodyText"/>
                  </w:pPr>
                  <w:r>
                    <w:rPr>
                      <w:sz w:val="14"/>
                    </w:rPr>
                    <w:t xml:space="preserve">[2] Lady Justice Gloster in paragraph 39, </w:t>
                  </w:r>
                  <w:r>
                    <w:rPr>
                      <w:i/>
                      <w:sz w:val="14"/>
                    </w:rPr>
                    <w:t xml:space="preserve">Dechert LLP v. Eurasian Natural Resources Corporation Limited </w:t>
                  </w:r>
                  <w:r>
                    <w:rPr>
                      <w:sz w:val="14"/>
                    </w:rPr>
                    <w:t xml:space="preserve">[2016] EWCA Civ 375.</w:t>
                  </w:r>
                </w:p>
                <w:p>
                  <w:pPr>
                    <w:pStyle w:val="BodyText"/>
                  </w:pPr>
                  <w:r>
                    <w:rPr>
                      <w:sz w:val="14"/>
                    </w:rPr>
                    <w:t xml:space="preserve">[3] Mr. Justice Burnett in paragraph 31, </w:t>
                  </w:r>
                  <w:r>
                    <w:rPr>
                      <w:i/>
                      <w:sz w:val="14"/>
                    </w:rPr>
                    <w:t xml:space="preserve">R (on the application of Colin McKenzie) v. Director of the Serious Fraud Office </w:t>
                  </w:r>
                  <w:r>
                    <w:rPr>
                      <w:sz w:val="14"/>
                    </w:rPr>
                    <w:t xml:space="preserve">[2016] EWHC 102 (Admin).</w:t>
                  </w:r>
                </w:p>
                <w:p>
                  <w:pPr>
                    <w:pStyle w:val="BodyText"/>
                  </w:pPr>
                  <w:r>
                    <w:rPr>
                      <w:sz w:val="14"/>
                    </w:rPr>
                    <w:t xml:space="preserve">[4] </w:t>
                  </w:r>
                  <w:r>
                    <w:rPr>
                      <w:i/>
                      <w:sz w:val="14"/>
                    </w:rPr>
                    <w:t xml:space="preserve">Civil Aviation Authority v. R Jet2.com Ltd</w:t>
                  </w:r>
                  <w:r>
                    <w:rPr>
                      <w:sz w:val="14"/>
                    </w:rPr>
                    <w:t xml:space="preserve"> [2020] EWCA Civ 35.</w:t>
                  </w:r>
                </w:p>
                <w:p>
                  <w:pPr>
                    <w:pStyle w:val="BodyText"/>
                  </w:pPr>
                  <w:r>
                    <w:rPr>
                      <w:sz w:val="14"/>
                    </w:rPr>
                    <w:t xml:space="preserve">[5] See the Court of Appeal's judgment in </w:t>
                  </w:r>
                  <w:r>
                    <w:rPr>
                      <w:i/>
                      <w:sz w:val="14"/>
                    </w:rPr>
                    <w:t xml:space="preserve">Balabel v. Air India</w:t>
                  </w:r>
                  <w:r>
                    <w:rPr>
                      <w:sz w:val="14"/>
                    </w:rPr>
                    <w:t xml:space="preserve"> [1988] 1 Ch 317.</w:t>
                  </w:r>
                </w:p>
                <w:p>
                  <w:pPr>
                    <w:pStyle w:val="BodyText"/>
                  </w:pPr>
                  <w:r>
                    <w:rPr>
                      <w:sz w:val="14"/>
                    </w:rPr>
                    <w:t xml:space="preserve">[6] </w:t>
                  </w:r>
                  <w:r>
                    <w:rPr>
                      <w:i/>
                      <w:sz w:val="14"/>
                    </w:rPr>
                    <w:t xml:space="preserve">Three Rivers District Council and Ors v. Governor and Bank of England (No. 5) </w:t>
                  </w:r>
                  <w:r>
                    <w:rPr>
                      <w:sz w:val="14"/>
                    </w:rPr>
                    <w:t xml:space="preserve">[2003] QB 1556 and </w:t>
                  </w:r>
                  <w:r>
                    <w:rPr>
                      <w:i/>
                      <w:sz w:val="14"/>
                    </w:rPr>
                    <w:t xml:space="preserve">Three Rivers District Council v. Governor and Company of the Bank of England (No. 6) </w:t>
                  </w:r>
                  <w:r>
                    <w:rPr>
                      <w:sz w:val="14"/>
                    </w:rPr>
                    <w:t xml:space="preserve">[2005] 1 AC 610.</w:t>
                  </w:r>
                </w:p>
                <w:p>
                  <w:pPr>
                    <w:pStyle w:val="BodyText"/>
                  </w:pPr>
                  <w:r>
                    <w:rPr>
                      <w:sz w:val="14"/>
                    </w:rPr>
                    <w:t xml:space="preserve"> [7] </w:t>
                  </w:r>
                  <w:r>
                    <w:rPr>
                      <w:i/>
                      <w:sz w:val="14"/>
                    </w:rPr>
                    <w:t xml:space="preserve">Al Sadeq v. Dechert LLP</w:t>
                  </w:r>
                  <w:r>
                    <w:rPr>
                      <w:sz w:val="14"/>
                    </w:rPr>
                    <w:t xml:space="preserve"> [2024] EWCA Civ 28 in paragraph 222.</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Lawyer-client communications that are covered by legal advice privilege remain so regardless of whether they are held by the lawyer or the client. Copies of privileged documents are also privileged.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English law, in-house lawyers are treated in the same way as external lawyers for determining privilege. Insofar as they are giving legal advice, their communications will be privileged. However, if their communications relate to purely business or administration (i.e., they are corresponding as a "man of business") and "do not contain advice as to what should prudently and sensibly be done in a relevant legal context,"</w:t>
                  </w:r>
                  <w:r>
                    <w:rPr>
                      <w:vertAlign w:val="superscript"/>
                    </w:rPr>
                    <w:t xml:space="preserve">1</w:t>
                  </w:r>
                  <w:r>
                    <w:t xml:space="preserve"> they will not attract privilege. As a practical matter, it is wise for in-house lawyers to separate communications that concern business or administration from communications that are providing legal advice. Additionally, in-house lawyers who work on cross-border matters/advise their clients in other jurisdictions should ensure they are aware of the position in those other jurisdictions.</w:t>
                  </w:r>
                </w:p>
                <w:p>
                  <w:pPr>
                    <w:pStyle w:val="BodyText"/>
                  </w:pPr>
                  <w:r>
                    <w:t xml:space="preserve"> </w:t>
                  </w:r>
                </w:p>
                <w:p>
                  <w:pPr>
                    <w:pStyle w:val="BodyText"/>
                  </w:pPr>
                  <w:pPr>
                    <w:pBdr>
                      <w:top w:val="single" w:sz="4"/>
                    </w:pBdr>
                  </w:pPr>
                  <w:r/>
                </w:p>
                <w:p>
                  <w:pPr>
                    <w:pStyle w:val="BodyText"/>
                  </w:pPr>
                  <w:r>
                    <w:rPr>
                      <w:sz w:val="14"/>
                    </w:rPr>
                    <w:t xml:space="preserve">[1] Paragraph 13, </w:t>
                  </w:r>
                  <w:r>
                    <w:rPr>
                      <w:i/>
                      <w:sz w:val="14"/>
                    </w:rPr>
                    <w:t xml:space="preserve">Z v. Z &amp; Ors</w:t>
                  </w:r>
                  <w:r>
                    <w:rPr>
                      <w:sz w:val="14"/>
                    </w:rPr>
                    <w:t xml:space="preserve"> [2016] EWHC 3349 (Fam).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Internal communications between in-house lawyers are privileged, provided the communications are for the dominant purpose of providing legal advice to the internal client. Communications with lawyers that relate to business or administration with no relevant legal context will not be privileged.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long as the lawyer is acting in their professional capacity or function as a lawyer in connection with providing legal advice. The English court will not examine a foreign lawyer's qualification or regulated status by reference to their domestic laws. Accordingly, under English law, foreign in-house lawyers' communications can also attract privilege, so long as they are providing advice in their capacity or function as a lawyer and the other requirements of legal advice or litigation privilege are met (</w:t>
                  </w:r>
                  <w:r>
                    <w:rPr>
                      <w:i/>
                    </w:rPr>
                    <w:t xml:space="preserve">PJSC Tatneft v. Bogolyubov and others</w:t>
                  </w:r>
                  <w:r>
                    <w:t xml:space="preserve"> [2020] EWHC 2437 (Comm)).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advice privilege does not extend beyond qualified lawyers to advice given by nonlawyers. The Supreme Court decision of </w:t>
                  </w:r>
                  <w:r>
                    <w:rPr>
                      <w:i/>
                    </w:rPr>
                    <w:t xml:space="preserve">R (on the application of Prudential Plc and another) v. Special Commissioner of Income Tax and Anor</w:t>
                  </w:r>
                  <w:r>
                    <w:t xml:space="preserve"> confirmed this. The Supreme Court's judgment confirmed the historic common law position that legal advice privilege does not extend to advice given by accountants, tax advisers, economists, construction claims consultants or other professionals, even where this advice is necessary for a client to understand their legal rights and obligations. The Supreme Court's rationale for maintaining this rule was that to extend legal advice privilege to nonlawyers "would detract from the certainty and clarity which presently exist." Therefore, clients continue to face difficulties when it comes to instructing nonlawyer third parties such as accountants — as information shared with them may later be disclosable in a litigation or regulatory context — unless they are covered by litigation privilege. Litigation privilege may apply to other non-legal professionals as it can cover communications with third parties, such as a client's communications with an expert.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Dissemination of privileged communications within the client company</w:t>
                  </w:r>
                </w:p>
                <w:p>
                  <w:pPr>
                    <w:pStyle w:val="BodyText"/>
                  </w:pPr>
                  <w:r>
                    <w:t xml:space="preserve">As set out in section 2, legal advice privilege contains a narrow definition of "client", such that the majority of employees in a large organization would not fall within it and would instead be classified as third parties. However, it is well-established that legal advice privilege covers the client's own written record of advice and also any communication passing on, considering or applying that advice internally as confirmed in: </w:t>
                  </w:r>
                  <w:r>
                    <w:rPr>
                      <w:i/>
                    </w:rPr>
                    <w:t xml:space="preserve">Bank of Nova Scotia v. Hellenic Mutual War Risks Association (Bermuda) Ltd ("The Good Luck")</w:t>
                  </w:r>
                  <w:r>
                    <w:t xml:space="preserve"> [1991] 2 Lloyd's Rep. 191. This was described as an "uncontroversial proposition" in </w:t>
                  </w:r>
                  <w:r>
                    <w:rPr>
                      <w:i/>
                    </w:rPr>
                    <w:t xml:space="preserve">Financial Services Compensation Scheme Ltd v. Abbey National Treasury Services Plc</w:t>
                  </w:r>
                  <w:r>
                    <w:t xml:space="preserve"> [2007] EWHC 2868 (Ch). This means that privileged advice can be disseminated within an organization without it losing privilege, though best practice would be to ensure that the dissemination is on a "need to know" basis.</w:t>
                  </w:r>
                </w:p>
                <w:p>
                  <w:pPr>
                    <w:pStyle w:val="BodyText"/>
                  </w:pPr>
                  <w:r>
                    <w:t xml:space="preserve">More recently, the Court of Appeal acknowledged in Civil Aviation Authority v. R Jet2.com Ltd [2020] EWCA Civ 35 that:</w:t>
                  </w:r>
                </w:p>
                <w:p>
                  <w:pPr>
                    <w:pStyle w:val="BodyText"/>
                  </w:pPr>
                  <w:pPr>
                    <w:ind w:left="720"/>
                  </w:pPr>
                  <w:r>
                    <w:t xml:space="preserve">"legal advice is not given for hypothetical purposes, but to be considered and (insofar as accepted) applied by the client. It is therefore well-established that it covers not only a document from the lawyer containing advice and the client's own written record of advice (whether given in writing or orally), but also any communication (again, whether written or oral) passing on, considering or applying that advice internally.</w:t>
                  </w:r>
                </w:p>
                <w:p>
                  <w:pPr>
                    <w:pStyle w:val="BodyText"/>
                  </w:pPr>
                  <w:r>
                    <w:t xml:space="preserve">However, a distinction can be drawn between the circulation within a company of advice received from lawyers and the recommendations made by officers of the company as to the action to be taken, having regard to that advice. The recommendations are corporate actions — and not privileged — whether they follow the advice or disregard it.</w:t>
                  </w:r>
                </w:p>
                <w:p>
                  <w:pPr>
                    <w:pStyle w:val="BodyText"/>
                  </w:pPr>
                  <w:r>
                    <w:rPr>
                      <w:b/>
                    </w:rPr>
                    <w:t xml:space="preserve">Limited waiver of privilege</w:t>
                  </w:r>
                </w:p>
                <w:p>
                  <w:pPr>
                    <w:pStyle w:val="BodyText"/>
                  </w:pPr>
                  <w:r>
                    <w:t xml:space="preserve">Confidentiality is an essential element of privilege. If a party chooses to share a document with another party, confidentiality — and therefore privilege — will be lost as against that party. However, confidentiality is not lost more broadly, and so privilege in that document can be asserted as against the rest of the world.</w:t>
                  </w:r>
                </w:p>
                <w:p>
                  <w:pPr>
                    <w:pStyle w:val="BodyText"/>
                  </w:pPr>
                  <w:r>
                    <w:t xml:space="preserve">In </w:t>
                  </w:r>
                  <w:r>
                    <w:rPr>
                      <w:i/>
                    </w:rPr>
                    <w:t xml:space="preserve">Property Alliance Group v. Royal Bank of Scotland</w:t>
                  </w:r>
                  <w:r>
                    <w:t xml:space="preserve"> [2015] EWHC 1557 (Ch), Mr. Justice Birss (as he then was) confirmed that privilege can be waived for a limited purpose and that this would prevent the person to whom the document was disclosed from using it in some circumstances if they were outside the limited purpose for which privilege was waived. In that particular case, the documents in question had been provided to various regulators on the basis that confidentiality and privilege would be preserved as against third parties. The agreements with the regulators contained "carve-outs" that permitted the regulators to share the documents with other third parties (such as other governmental or regulatory agencies) and/or to make the material public or to disclose it further. Birss J found that those carve-outs did not amount to a general waiver of privilege and stated the following:</w:t>
                  </w:r>
                </w:p>
                <w:p>
                  <w:pPr>
                    <w:pStyle w:val="BodyText"/>
                  </w:pPr>
                  <w:pPr>
                    <w:ind w:left="720"/>
                  </w:pPr>
                  <w:r>
                    <w:t xml:space="preserve">The fact that the carve outs recognise the regulator's rights and obligations to take a step, which might go so far as even publishing the information in the document, makes no difference if that has not happened. Until they do, I fail to see why the confidentiality and privilege would not be preserved.</w:t>
                  </w:r>
                </w:p>
                <w:p>
                  <w:pPr>
                    <w:pStyle w:val="BodyText"/>
                  </w:pPr>
                  <w:r>
                    <w:t xml:space="preserve">The case of </w:t>
                  </w:r>
                  <w:r>
                    <w:rPr>
                      <w:i/>
                    </w:rPr>
                    <w:t xml:space="preserve">State of Qatar v. Banque Havilland SA</w:t>
                  </w:r>
                  <w:r>
                    <w:t xml:space="preserve"> [2021] EWHC 2172 (Comm) confirmed the English court's view that, where a document has been provided to a limited number of people, it will generally take a good deal of persuading that privilege has been waived more broadly, as against the rest of the world. This is the case whether a limited waiver is implied, or whether it is express (and set out in a written agreement or exchange of correspondence).</w:t>
                  </w:r>
                  <w:r>
                    <w:rPr>
                      <w:vertAlign w:val="superscript"/>
                    </w:rPr>
                    <w:t xml:space="preserve">1</w:t>
                  </w:r>
                  <w:r>
                    <w:t xml:space="preserve"> An express limited waiver is preferable to avoid argument, but the written element is not required for the protection of limited waiver to apply.</w:t>
                  </w:r>
                </w:p>
                <w:p>
                  <w:pPr>
                    <w:pStyle w:val="BodyText"/>
                  </w:pPr>
                  <w:r>
                    <w:t xml:space="preserve">In practice, if it is necessary to share a privileged document with a third party, it is advisable, before handing over the document, to (i) state expressly in a communication to the third party that the document is being provided in confidence and without prejudice to legal professional privilege, (ii) specify the purpose for which the document is being provided and (iii) ask the third party to acknowledge this in writing and to undertake not to disclose the documents to any other person.</w:t>
                  </w:r>
                </w:p>
                <w:p>
                  <w:pPr>
                    <w:pStyle w:val="BodyText"/>
                  </w:pPr>
                  <w:r>
                    <w:rPr>
                      <w:b/>
                    </w:rPr>
                    <w:t xml:space="preserve">Common interest privilege</w:t>
                  </w:r>
                </w:p>
                <w:p>
                  <w:pPr>
                    <w:pStyle w:val="BodyText"/>
                  </w:pPr>
                  <w:r>
                    <w:t xml:space="preserve">A party does not waive privilege where it discloses documents to a third party with whom it shares a common interest in the subject matter of the privileged document or the litigation to which the document relates. It is uncertain precisely which situations are covered by this form of privilege, but the relationships in which a common interest has been found to exist to date include companies in the same group; insured and insurer; reinsured and reinsurer; agent and principal; company and shareholder; codefendants; and parties using the same solicitor. It is always best practice to use a common interest privilege agreement to record this relationship and its agreed terms. Common interest privilege is not a privilege in its own right, but applies to already-privileged material, where the parties share a common interest.</w:t>
                  </w:r>
                </w:p>
                <w:p>
                  <w:pPr>
                    <w:pStyle w:val="BodyText"/>
                  </w:pPr>
                  <w:r>
                    <w:t xml:space="preserve"> </w:t>
                  </w:r>
                </w:p>
                <w:p>
                  <w:pPr>
                    <w:pStyle w:val="BodyText"/>
                  </w:pPr>
                  <w:pPr>
                    <w:pBdr>
                      <w:top w:val="single" w:sz="4"/>
                    </w:pBdr>
                  </w:pPr>
                  <w:r/>
                </w:p>
                <w:p>
                  <w:pPr>
                    <w:pStyle w:val="BodyText"/>
                  </w:pPr>
                  <w:r>
                    <w:rPr>
                      <w:sz w:val="14"/>
                    </w:rPr>
                    <w:t xml:space="preserve">[1] See, for example, </w:t>
                  </w:r>
                  <w:r>
                    <w:rPr>
                      <w:i/>
                      <w:sz w:val="14"/>
                    </w:rPr>
                    <w:t xml:space="preserve">Belhaj and another v. Director of Public Prosecutions and others</w:t>
                  </w:r>
                  <w:r>
                    <w:rPr>
                      <w:sz w:val="14"/>
                    </w:rPr>
                    <w:t xml:space="preserve"> [2018] EWHC 513 (Admin).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professional privilege generally operates in the same way irrespective of whether the situation is civil, criminal, regulatory or investigatory. That said, litigation privilege is "essentially a creature of adversarial proceedings"</w:t>
                  </w:r>
                  <w:r>
                    <w:rPr>
                      <w:vertAlign w:val="superscript"/>
                    </w:rPr>
                    <w:t xml:space="preserve">1</w:t>
                  </w:r>
                  <w:r>
                    <w:t xml:space="preserve"> and does not extend to investigative or inquisitorial proceedings.</w:t>
                  </w:r>
                </w:p>
                <w:p>
                  <w:pPr>
                    <w:pStyle w:val="BodyText"/>
                  </w:pPr>
                  <w:r>
                    <w:t xml:space="preserve">However, the fact that an investigation may be the precursor to any litigation does not necessarily mean that litigation privilege will not be available when the investigation is being carried out. In the context of investigations, the important points are: (a) identifying the point at which litigation is in reasonable contemplation of the parties — usually, criminal litigation in the form of prosecution; and (b) understanding that, when an investigative report is commissioned for a range of reasons, a claim to litigation privilege can be difficult, given the requirement to demonstrate that the report is prepared for the sole or dominant purpose of the litigation. Ultimately, many investigations will be inquisitorial in nature at the beginning. This may change during the course of the investigation, or it may not, and if it does not, litigation privilege will not apply.</w:t>
                  </w:r>
                </w:p>
                <w:p>
                  <w:pPr>
                    <w:pStyle w:val="BodyText"/>
                  </w:pPr>
                  <w:r>
                    <w:t xml:space="preserve">In the Court of Appeal decision in </w:t>
                  </w:r>
                  <w:r>
                    <w:rPr>
                      <w:i/>
                    </w:rPr>
                    <w:t xml:space="preserve">The Director of the Serious Fraud Office v. Eurasian Natural Resources Corporation Ltd </w:t>
                  </w:r>
                  <w:r>
                    <w:t xml:space="preserve">[2018] EWCA Civ </w:t>
                  </w:r>
                  <w:r>
                    <w:t xml:space="preserve">2006</w:t>
                  </w:r>
                  <w:r>
                    <w:t xml:space="preserve">, the court found that litigation (in the form of criminal proceedings) was reasonably in contemplation when Eurasian Natural Resources Corporation (ENRC) had instigated its own investigation and certainly by the time the Serious Fraud Office (SFO) had written a letter urging ENRC to carefully consider the self-reporting guidelines even though it had confirmed that the SFO was not, at that stage, carrying out an investigation. Further, and very importantly, the Court of Appeal decision confirmed that, contrary to the first instance judge's decision, there is no general principle that litigation privilege cannot apply until either a defendant knows the full details of what is likely to be unearthed or a decision to prosecute has been taken.</w:t>
                  </w:r>
                </w:p>
                <w:p>
                  <w:pPr>
                    <w:pStyle w:val="BodyText"/>
                  </w:pPr>
                  <w:r>
                    <w:t xml:space="preserve">In </w:t>
                  </w:r>
                  <w:r>
                    <w:rPr>
                      <w:i/>
                    </w:rPr>
                    <w:t xml:space="preserve">The State of Qatar v. Banque Havilland SA</w:t>
                  </w:r>
                  <w:r>
                    <w:t xml:space="preserve"> [2021] EWHC 2172 (Comm), the court refused a claim to litigation privilege over an accountants' investigative report. Although the issue addressed in the report was a serious one (with the potential for serious legal and regulatory consequences), there was insufficient evidence on the facts that it had been commissioned for the sole or dominant purpose of adversarial litigation. </w:t>
                  </w:r>
                </w:p>
                <w:p>
                  <w:pPr>
                    <w:pStyle w:val="BodyText"/>
                  </w:pPr>
                  <w:r>
                    <w:t xml:space="preserve">In relation to legal advice privilege and investigations, the recent Court of Appeal case of </w:t>
                  </w:r>
                  <w:r>
                    <w:rPr>
                      <w:i/>
                    </w:rPr>
                    <w:t xml:space="preserve">Al Sadeq v. Dechert LLP</w:t>
                  </w:r>
                  <w:r>
                    <w:t xml:space="preserve"> [2024] EWCA Civ 28 confirms that, where lawyers are engaged for their legal expertise and conduct an investigation in a legal context, documents created by them for the dominant purpose of their investigatory work will be covered by legal advice privilege. The judge said the law firm's work extended "not only to advice on black letter law and its application to particular facts, but also to the practical aspects of legal proceedings and preparations for legal proceedings." However, any documents created as part of the lawyers' purely investigative role (i.e., not requiring legal skills or analysis) were not privileged.</w:t>
                  </w:r>
                </w:p>
                <w:p>
                  <w:pPr>
                    <w:pStyle w:val="BodyText"/>
                  </w:pPr>
                  <w:r>
                    <w:t xml:space="preserve"> </w:t>
                  </w:r>
                </w:p>
                <w:p>
                  <w:pPr>
                    <w:pStyle w:val="BodyText"/>
                  </w:pPr>
                  <w:pPr>
                    <w:pBdr>
                      <w:top w:val="single" w:sz="4"/>
                    </w:pBdr>
                  </w:pPr>
                  <w:r/>
                </w:p>
                <w:p>
                  <w:pPr>
                    <w:pStyle w:val="BodyText"/>
                  </w:pPr>
                  <w:r>
                    <w:rPr>
                      <w:sz w:val="14"/>
                    </w:rPr>
                    <w:t xml:space="preserve">[1] Paragraph 42, </w:t>
                  </w:r>
                  <w:r>
                    <w:rPr>
                      <w:i/>
                      <w:sz w:val="14"/>
                    </w:rPr>
                    <w:t xml:space="preserve">Property Alliance Group v. Royal Bank of Scotland</w:t>
                  </w:r>
                  <w:r>
                    <w:rPr>
                      <w:sz w:val="14"/>
                    </w:rPr>
                    <w:t xml:space="preserve"> [2015] EWHC 1557 (Ch) (quoting Lord Jauncey in </w:t>
                  </w:r>
                  <w:r>
                    <w:rPr>
                      <w:i/>
                      <w:sz w:val="14"/>
                    </w:rPr>
                    <w:t xml:space="preserve">Re L (a minor) (Police Investigation: Privilege)</w:t>
                  </w:r>
                  <w:r>
                    <w:rPr>
                      <w:sz w:val="14"/>
                    </w:rPr>
                    <w:t xml:space="preserve"> [1997] AC 16).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starting point is that, where interviews are themselves not privileged, verbatim notes or transcripts cannot be privileged.</w:t>
                  </w:r>
                </w:p>
                <w:p>
                  <w:pPr>
                    <w:pStyle w:val="BodyText"/>
                  </w:pPr>
                  <w:r>
                    <w:t xml:space="preserve">A good example of this is in </w:t>
                  </w:r>
                  <w:r>
                    <w:rPr>
                      <w:i/>
                    </w:rPr>
                    <w:t xml:space="preserve">The RBS Rights Issue Litigation</w:t>
                  </w:r>
                  <w:r>
                    <w:t xml:space="preserve"> case. RBS had notes of interviews with 124 individuals, some of whom were ex-employees, across a number of divisions, locations (including the US) and levels of seniority. The interview notes compromised information gathered from employees or former employees preparatory to and for the purpose of enabling RBS, through its directors or other persons authorized to do so on its behalf, to seek and receive legal advice. Hildyard J considered that these interview notes did not meet the requirements for legal advice privilege: "The individuals interviewed were providers of information as employees and not clients: and the Interview Notes were not communications between client and legal adviser."</w:t>
                  </w:r>
                </w:p>
                <w:p>
                  <w:pPr>
                    <w:pStyle w:val="BodyText"/>
                  </w:pPr>
                  <w:r>
                    <w:t xml:space="preserve">In </w:t>
                  </w:r>
                  <w:r>
                    <w:rPr>
                      <w:i/>
                    </w:rPr>
                    <w:t xml:space="preserve">The RBS Rights Issue Litigation</w:t>
                  </w:r>
                  <w:r>
                    <w:t xml:space="preserve"> case, RBS also argued, in the alternative, that the interview notes were privileged because they were "lawyers' working papers." Under English law, lawyers' working papers may be privileged if they would betray the trend of advice that the lawyer is giving the client. RBS argued that the interview notes were not simply verbatim recitals of the interviews, but were notes that evidenced the lawyer's impressions in the sense that they reflected the work undertaken in preparation for the interviews, thus revealing the train of inquiry. Further, as these notes were not verbatim transcripts, they reflected a selection by the author of the points being recorded. Hildyard J did not consider this to be sufficient and said that there was a real difference between reflecting a train of inquiry and reflecting — or giving a clue as to — the trend of legal advice. A claim for privilege on the basis that interview notes were "lawyers' working papers" was also rejected at first instance in </w:t>
                  </w:r>
                  <w:r>
                    <w:rPr>
                      <w:i/>
                    </w:rPr>
                    <w:t xml:space="preserve">The Director of the Serious Fraud Office v. Eurasian Natural Resources Corporation Ltd</w:t>
                  </w:r>
                  <w:r>
                    <w:t xml:space="preserve">, as the judge concluded that there was insufficient evidence that the notes would give a clue as to the legal advice or any aspect of the legal advice being given to ENRC. The Court of Appeal declined to give a view on this and considered that it would be better for the question of the extent to which lawyers' working papers are covered by legal advice privilege to be considered by the Supreme Court. As such, the position on lawyers' working papers remains as outlined above.</w:t>
                  </w:r>
                </w:p>
                <w:p>
                  <w:pPr>
                    <w:pStyle w:val="BodyText"/>
                  </w:pPr>
                  <w:r>
                    <w:t xml:space="preserve">If adversarial litigation is reasonably in contemplation and the other elements of litigation privilege are present, interviews with employees and third parties may be covered by litigation privilege. For example, in </w:t>
                  </w:r>
                  <w:r>
                    <w:rPr>
                      <w:i/>
                    </w:rPr>
                    <w:t xml:space="preserve">Bilta (UK) Ltd</w:t>
                  </w:r>
                  <w:r>
                    <w:rPr>
                      <w:i/>
                    </w:rPr>
                    <w:t xml:space="preserve"> (in liquidation) &amp; Ors v. Royal Bank of Scotland PLC &amp; Ors </w:t>
                  </w:r>
                  <w:r>
                    <w:t xml:space="preserve">[2017] EWHC 3535 (Ch), interviews with former and current employees that were conducted by RBS as part of an investigation were found to be covered by litigation privilege. Also, in the Court of Appeal decision in </w:t>
                  </w:r>
                  <w:r>
                    <w:rPr>
                      <w:i/>
                    </w:rPr>
                    <w:t xml:space="preserve">The Director of the Serious Fraud Office v. Eurasian Natural Resources Corporation Ltd</w:t>
                  </w:r>
                  <w:r>
                    <w:t xml:space="preserve">, the court held that (contrary to the decision at first instance) the notes of interviews with employees, former employees, officers of the company, and subsidiary companies, and other third parties were covered by litigation privilege. The Court of Appeal considered that the contemporaneous documents showed that ENRC was "aware of circumstances which rendered litigation between itself and the SFO a real likelihood rather than a mere possibility".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Legal professional privilege is considered a fundamental right and can, generally speaking, be asserted in answer to any demand for documents by a public or other authority. Furthermore, statutory powers that confer compulsory information-gathering powers are almost always coupled with privilege-preserving provisions. Such statutory powers are very limited (for example, in relation to matters of national security).</w:t>
                  </w:r>
                </w:p>
                <w:p>
                  <w:pPr>
                    <w:pStyle w:val="BodyText"/>
                  </w:pPr>
                  <w:r>
                    <w:t xml:space="preserve">In </w:t>
                  </w:r>
                  <w:r>
                    <w:rPr>
                      <w:i/>
                    </w:rPr>
                    <w:t xml:space="preserve">Sports Direct International Plc v. The Financial Reporting Council</w:t>
                  </w:r>
                  <w:r>
                    <w:t xml:space="preserve">, the Court of Appeal made it clear that it is very rare for statutory powers to override privilege. Unless a statute prevails over privilege, a regulator cannot go through the back door and require a client to produce privileged documents, where the client has a credible claim to assert privilege over those documents. The English Law Society has emphasized that, when solicitors are confronted with requests to produce privileged materials that would involve trespassing on privilege, they should recall that it is truly exceptional for an authority to have the power to obtain such material.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use of AI and generative AI tools does not change the English legal position in respect of confidentiality, privilege or professional obligations. However, using AI and generative AI tools impacts the analysis of these principles and raises novel issues to be considered, such as how to manage the increased risk of loss of confidentiality and/or privilege due to a significant increase in the volume (and speed of creation) of written material. Use of public or open-source generative AI tools creates greater risks, as any input to such a tool will lose confidentiality, which is a key cornerstone of legal privilege. Use of a closed or proprietary generative AI tool means that access to the tool (and its inputs/outputs) is limited to that organization, which limits confidentiality concerns but does not alleviate the risk of a loss of privilege.</w:t>
                  </w:r>
                </w:p>
                <w:p>
                  <w:pPr>
                    <w:pStyle w:val="BodyText"/>
                  </w:pPr>
                  <w:r>
                    <w:t xml:space="preserve">As such, inputs by lawyers into generative AI tools will generally not be covered by privilege under English law, as there is no communication with a lawyer in this scenario. While there are some exceptions to this, including lawyers' working papers, the law in this area is not well settled.</w:t>
                  </w:r>
                </w:p>
                <w:p>
                  <w:pPr>
                    <w:pStyle w:val="BodyText"/>
                  </w:pPr>
                  <w:r>
                    <w:t xml:space="preserve">The analysis of outputs by generative AI models leads to the same conclusion, as a generative AI tool is not a lawyer, and therefore work product generated by such a tool cannot be privileged.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have been plenty of cases featuring issues of privilege since the last edition of the Global Privilege Handbook. Certain key cases are highlighted below.</w:t>
                  </w:r>
                </w:p>
                <w:p>
                  <w:pPr>
                    <w:pStyle w:val="BodyText"/>
                  </w:pPr>
                  <w:pPr>
                    <w:pStyle w:val="ListParagraph"/>
                    <w:numPr>
                      <w:ilvl w:val="0"/>
                      <w:numId w:val="10"/>
                    </w:numPr>
                  </w:pPr>
                  <w:r>
                    <w:rPr>
                      <w:i/>
                    </w:rPr>
                    <w:t xml:space="preserve">Krishna Holdco Ltd v. Gowrie Holdings Ltd</w:t>
                  </w:r>
                  <w:r>
                    <w:t xml:space="preserve"> [2025] EWHC 341 (Ch): The High Court upheld a claim to litigation privilege over a valuation report that had been prepared for the potential sale of a company's trading subsidiaries to a shareholder of the company. In doing so, the court looked beyond the immediate transaction and considered why the sale was happening. It was satisfied that the sale did not arise in the course of ordinary commercial negotiations, but rather as a response to a strategic threat that was part of the wider dispute being litigated between the parties. In these circumstances, the dominant purpose of the valuation report was identified as the conduct of litigation and, therefore, the relevant test was satisfied.</w:t>
                  </w:r>
                </w:p>
                <w:p>
                  <w:pPr>
                    <w:pStyle w:val="BodyText"/>
                  </w:pPr>
                  <w:pPr>
                    <w:pStyle w:val="ListParagraph"/>
                    <w:numPr>
                      <w:ilvl w:val="0"/>
                      <w:numId w:val="10"/>
                    </w:numPr>
                  </w:pPr>
                  <w:r>
                    <w:rPr>
                      <w:i/>
                    </w:rPr>
                    <w:t xml:space="preserve">Al Sadeq v. Dechert LLP</w:t>
                  </w:r>
                  <w:r>
                    <w:t xml:space="preserve"> [2024] EWCA Civ 28: Another aspect of this decision (discussed earlier in this chapter) relates to litigation privilege. The court held that litigation privilege can apply where the person claiming the privilege is a non-party to the (actual or contemplated) litigation, i.e., a third party, provided the dominant purpose test is satisfied. However, the question of whether the third party has to have a "sufficient interest" in the (actual or contemplated) proceedings (over and above satisfying the dominant purpose test) was left open because, if it was a requirement, it was plainly satisfied on the facts of this case.</w:t>
                  </w:r>
                </w:p>
                <w:p>
                  <w:pPr>
                    <w:pStyle w:val="BodyText"/>
                  </w:pPr>
                  <w:pPr>
                    <w:pStyle w:val="ListParagraph"/>
                    <w:numPr>
                      <w:ilvl w:val="0"/>
                      <w:numId w:val="10"/>
                    </w:numPr>
                  </w:pPr>
                  <w:r>
                    <w:rPr>
                      <w:i/>
                    </w:rPr>
                    <w:t xml:space="preserve">Aabar</w:t>
                  </w:r>
                  <w:r>
                    <w:t xml:space="preserve"> [2024] EWHC 3046 (Comm): This important decision held that the so-called "Shareholder Rule" is unjustifiable and should no longer be applied in English law. The rule was considered to be a principle of English law that a company could not assert privilege against its own registered shareholders (being shareholders at the time the document was created), unless the relevant documents came into existence for the dominant purpose of actual or threatened proceedings between the company and its shareholders. Although this decision (that the rule does not apply) is subject to an appeal, which is due to be heard in January 2026, this may now fall away due to the Privy Council decision of </w:t>
                  </w:r>
                  <w:r>
                    <w:rPr>
                      <w:i/>
                    </w:rPr>
                    <w:t xml:space="preserve">Jardine Strategic Limited v. Oasis Investments II Master Fund Ltd and others No 2 (Bermuda)</w:t>
                  </w:r>
                  <w:r>
                    <w:t xml:space="preserve"> [2025] UKPC 34. The Lord and Lady Justices confirmed the Shareholder Rule should be abolished, both in Bermuda and in England and Wales.</w:t>
                  </w:r>
                </w:p>
                <w:p>
                  <w:pPr>
                    <w:pStyle w:val="BodyText"/>
                  </w:pPr>
                  <w:pPr>
                    <w:pStyle w:val="ListParagraph"/>
                    <w:numPr>
                      <w:ilvl w:val="0"/>
                      <w:numId w:val="10"/>
                    </w:numPr>
                  </w:pPr>
                  <w:r>
                    <w:rPr>
                      <w:i/>
                    </w:rPr>
                    <w:t xml:space="preserve">E20 Stadium, London Legacy Development Corp v. A&amp;O</w:t>
                  </w:r>
                  <w:r>
                    <w:t xml:space="preserve"> [2022] EWHC 1808 (Comm): This decision considered limited and collateral waiver in the context of a disclosure exercise. Certain documents were disclosed voluntarily in accordance with specific disclosure requests (under the English "Model C" category of disclosure, which involves agreed search terms), and the defendant sought to argue that this amounted to a collateral waiver of further documents. The court disagreed and made the following points: First, it is for the court to determine, objectively, what amounts to the "transaction" in order to determine the scope of the waiver; second, the defendant was seeking to extend the transaction in a way that was not contemplated when the Model C requests were agreed; and third, the defendant had not established any unfairness in relation to the voluntary disclosure. As such, there was no collateral waiver.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Yindi Gesinde</w:t>
                  </w:r>
                  <w:r>
                    <w:br/>
                  </w:r>
                  <w:r>
                    <w:t xml:space="preserve">London</w:t>
                  </w:r>
                  <w:r>
                    <w:br/>
                  </w:r>
                  <w:r>
                    <w:t xml:space="preserve">+44 20 7919 1057</w:t>
                  </w:r>
                  <w:r>
                    <w:br/>
                  </w:r>
                  <w:hyperlink w:history="true" r:id="R99ccdcdc8b974dc3">
                    <w:r>
                      <w:rPr>
                        <w:rStyle w:val="Hyperlink"/>
                      </w:rPr>
                      <w:t xml:space="preserve">yindi.gesinde@bakermckenzie.com</w:t>
                    </w:r>
                  </w:hyperlink>
                </w:p>
                <w:p>
                  <w:pPr>
                    <w:pStyle w:val="BodyText"/>
                  </w:pPr>
                  <w:r>
                    <w:rPr>
                      <w:b/>
                    </w:rPr>
                    <w:t xml:space="preserve">Louise Nicholson</w:t>
                  </w:r>
                  <w:r>
                    <w:br/>
                  </w:r>
                  <w:r>
                    <w:t xml:space="preserve">London</w:t>
                  </w:r>
                  <w:r>
                    <w:br/>
                  </w:r>
                  <w:r>
                    <w:t xml:space="preserve">+44 20 7919 1160</w:t>
                  </w:r>
                  <w:r>
                    <w:br/>
                  </w:r>
                  <w:hyperlink w:history="true" r:id="R2666ba24eeee40d4">
                    <w:r>
                      <w:rPr>
                        <w:rStyle w:val="Hyperlink"/>
                      </w:rPr>
                      <w:t xml:space="preserve">louise.nicholson@bakermckenzie.com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yindi.gesinde@bakermckenzie.com" TargetMode="External" Id="R99ccdcdc8b974dc3" /><Relationship Type="http://schemas.openxmlformats.org/officeDocument/2006/relationships/hyperlink" Target="mailto:louise.nicholson@bakermckenzie.com" TargetMode="External" Id="R2666ba24eeee40d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